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2025年糖蜜</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QJKJ-CG-TM-20250814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2025年糖蜜</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根据各牧场月计划进行供货（2025年9月至2026年8月）</w:t>
            </w:r>
            <w:bookmarkStart w:id="0" w:name="_GoBack"/>
            <w:bookmarkEnd w:id="0"/>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2025年糖蜜</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2"/>
        <w:ind w:left="0" w:leftChars="0" w:firstLine="241" w:firstLineChars="100"/>
        <w:jc w:val="left"/>
        <w:rPr>
          <w:rFonts w:hint="eastAsia" w:eastAsia="宋体"/>
          <w:lang w:val="en-US" w:eastAsia="zh-CN"/>
        </w:rPr>
      </w:pPr>
      <w:r>
        <w:rPr>
          <w:rFonts w:hint="eastAsia"/>
          <w:lang w:val="en-US" w:eastAsia="zh-CN"/>
        </w:rPr>
        <w:t>糖蜜</w:t>
      </w:r>
    </w:p>
    <w:p w14:paraId="368E74EC">
      <w:pPr>
        <w:pStyle w:val="3"/>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3"/>
        <w:spacing w:before="5"/>
        <w:rPr>
          <w:b/>
          <w:sz w:val="31"/>
        </w:rPr>
      </w:pPr>
    </w:p>
    <w:p w14:paraId="60E473B7">
      <w:pPr>
        <w:pStyle w:val="3"/>
        <w:spacing w:line="367" w:lineRule="auto"/>
        <w:ind w:right="1792" w:firstLine="480" w:firstLineChars="200"/>
      </w:pPr>
      <w:r>
        <w:rPr>
          <w:rFonts w:hint="eastAsia"/>
          <w:lang w:val="en-US" w:eastAsia="zh-CN"/>
        </w:rPr>
        <w:t>均匀、色泽一致、无发霉、变质、结块及异味、异臭</w:t>
      </w:r>
      <w:r>
        <w:t>。</w:t>
      </w:r>
    </w:p>
    <w:p w14:paraId="3191E72E">
      <w:pPr>
        <w:pStyle w:val="3"/>
        <w:spacing w:before="12"/>
        <w:rPr>
          <w:sz w:val="18"/>
        </w:rPr>
      </w:pPr>
    </w:p>
    <w:p w14:paraId="767D2F16">
      <w:pPr>
        <w:spacing w:before="0"/>
        <w:ind w:right="0"/>
        <w:jc w:val="left"/>
        <w:rPr>
          <w:b/>
          <w:sz w:val="24"/>
        </w:rPr>
      </w:pPr>
      <w:r>
        <w:rPr>
          <w:b/>
          <w:sz w:val="24"/>
        </w:rPr>
        <w:t>2、技术指标</w:t>
      </w:r>
    </w:p>
    <w:p w14:paraId="6C12A5B9">
      <w:pPr>
        <w:pStyle w:val="3"/>
        <w:spacing w:before="5"/>
        <w:rPr>
          <w:b/>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11"/>
              <w:spacing w:before="121"/>
              <w:ind w:left="2302" w:right="2278"/>
              <w:jc w:val="center"/>
              <w:rPr>
                <w:b/>
                <w:sz w:val="18"/>
              </w:rPr>
            </w:pPr>
            <w:r>
              <w:rPr>
                <w:b/>
                <w:sz w:val="18"/>
              </w:rPr>
              <w:t>项目</w:t>
            </w:r>
          </w:p>
        </w:tc>
        <w:tc>
          <w:tcPr>
            <w:tcW w:w="2415" w:type="dxa"/>
          </w:tcPr>
          <w:p w14:paraId="7F209E13">
            <w:pPr>
              <w:pStyle w:val="11"/>
              <w:spacing w:before="121"/>
              <w:ind w:left="479"/>
              <w:rPr>
                <w:b/>
                <w:sz w:val="18"/>
              </w:rPr>
            </w:pPr>
            <w:r>
              <w:rPr>
                <w:b/>
                <w:sz w:val="18"/>
              </w:rPr>
              <w:t>指标</w:t>
            </w:r>
          </w:p>
        </w:tc>
        <w:tc>
          <w:tcPr>
            <w:tcW w:w="1540" w:type="dxa"/>
          </w:tcPr>
          <w:p w14:paraId="027FF6D8">
            <w:pPr>
              <w:pStyle w:val="11"/>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11"/>
              <w:rPr>
                <w:b/>
                <w:sz w:val="18"/>
              </w:rPr>
            </w:pPr>
          </w:p>
          <w:p w14:paraId="2305A752">
            <w:pPr>
              <w:pStyle w:val="11"/>
              <w:rPr>
                <w:b/>
                <w:sz w:val="18"/>
              </w:rPr>
            </w:pPr>
          </w:p>
          <w:p w14:paraId="45589D3B">
            <w:pPr>
              <w:pStyle w:val="11"/>
              <w:rPr>
                <w:b/>
                <w:sz w:val="18"/>
              </w:rPr>
            </w:pPr>
          </w:p>
          <w:p w14:paraId="070AB0F9">
            <w:pPr>
              <w:pStyle w:val="11"/>
              <w:spacing w:before="150"/>
              <w:ind w:left="223"/>
              <w:rPr>
                <w:sz w:val="18"/>
              </w:rPr>
            </w:pPr>
            <w:r>
              <w:rPr>
                <w:sz w:val="18"/>
              </w:rPr>
              <w:t>理化指标</w:t>
            </w:r>
          </w:p>
        </w:tc>
        <w:tc>
          <w:tcPr>
            <w:tcW w:w="3832" w:type="dxa"/>
          </w:tcPr>
          <w:p w14:paraId="631C79FB">
            <w:pPr>
              <w:pStyle w:val="11"/>
              <w:spacing w:before="120"/>
              <w:ind w:left="111"/>
              <w:rPr>
                <w:sz w:val="18"/>
              </w:rPr>
            </w:pPr>
            <w:r>
              <w:rPr>
                <w:sz w:val="18"/>
              </w:rPr>
              <w:t>水分（</w:t>
            </w:r>
            <w:r>
              <w:rPr>
                <w:rFonts w:ascii="Times New Roman" w:eastAsia="Times New Roman"/>
                <w:sz w:val="18"/>
              </w:rPr>
              <w:t>%</w:t>
            </w:r>
            <w:r>
              <w:rPr>
                <w:sz w:val="18"/>
              </w:rPr>
              <w:t>）</w:t>
            </w:r>
          </w:p>
        </w:tc>
        <w:tc>
          <w:tcPr>
            <w:tcW w:w="2415" w:type="dxa"/>
          </w:tcPr>
          <w:p w14:paraId="4FD92CD4">
            <w:pPr>
              <w:pStyle w:val="11"/>
              <w:spacing w:before="120"/>
              <w:ind w:left="506" w:firstLine="540" w:firstLineChars="300"/>
              <w:rPr>
                <w:rFonts w:hint="default" w:ascii="Times New Roman" w:hAnsi="Times New Roman" w:eastAsia="宋体"/>
                <w:sz w:val="18"/>
                <w:lang w:val="en-US" w:eastAsia="zh-CN"/>
              </w:rPr>
            </w:pPr>
            <w:r>
              <w:rPr>
                <w:sz w:val="18"/>
              </w:rPr>
              <w:t>≤</w:t>
            </w:r>
            <w:r>
              <w:rPr>
                <w:rFonts w:hint="eastAsia" w:ascii="Times New Roman" w:hAnsi="Times New Roman"/>
                <w:sz w:val="18"/>
                <w:lang w:val="en-US" w:eastAsia="zh-CN"/>
              </w:rPr>
              <w:t>56.0</w:t>
            </w:r>
          </w:p>
        </w:tc>
        <w:tc>
          <w:tcPr>
            <w:tcW w:w="1540" w:type="dxa"/>
          </w:tcPr>
          <w:p w14:paraId="2A26A624">
            <w:pPr>
              <w:pStyle w:val="11"/>
              <w:spacing w:before="120"/>
              <w:ind w:left="297" w:right="276"/>
              <w:jc w:val="center"/>
              <w:rPr>
                <w:sz w:val="18"/>
              </w:rPr>
            </w:pPr>
            <w:r>
              <w:rPr>
                <w:sz w:val="18"/>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11"/>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11"/>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11"/>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11"/>
              <w:spacing w:before="119"/>
              <w:ind w:left="111"/>
              <w:rPr>
                <w:sz w:val="18"/>
              </w:rPr>
            </w:pPr>
            <w:r>
              <w:rPr>
                <w:rFonts w:hint="eastAsia"/>
                <w:sz w:val="18"/>
                <w:lang w:val="en-US" w:eastAsia="zh-CN"/>
              </w:rPr>
              <w:t>酸度</w:t>
            </w:r>
            <w:r>
              <w:rPr>
                <w:sz w:val="18"/>
              </w:rPr>
              <w:t>（</w:t>
            </w:r>
            <w:r>
              <w:rPr>
                <w:rFonts w:ascii="Times New Roman" w:eastAsia="Times New Roman"/>
                <w:sz w:val="18"/>
              </w:rPr>
              <w:t>%</w:t>
            </w:r>
            <w:r>
              <w:rPr>
                <w:sz w:val="18"/>
              </w:rPr>
              <w:t>）</w:t>
            </w:r>
          </w:p>
        </w:tc>
        <w:tc>
          <w:tcPr>
            <w:tcW w:w="2415" w:type="dxa"/>
          </w:tcPr>
          <w:p w14:paraId="7B2185D0">
            <w:pPr>
              <w:pStyle w:val="11"/>
              <w:spacing w:before="119"/>
              <w:ind w:right="1017" w:firstLine="1080" w:firstLineChars="600"/>
              <w:jc w:val="both"/>
              <w:rPr>
                <w:rFonts w:hint="default"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4D7D31CD">
            <w:pPr>
              <w:pStyle w:val="11"/>
              <w:spacing w:before="119"/>
              <w:ind w:left="297" w:right="276"/>
              <w:jc w:val="center"/>
              <w:rPr>
                <w:rFonts w:hint="eastAsia" w:eastAsia="宋体"/>
                <w:sz w:val="18"/>
                <w:lang w:eastAsia="zh-CN"/>
              </w:rPr>
            </w:pPr>
            <w:r>
              <w:rPr>
                <w:rFonts w:hint="eastAsia"/>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11"/>
              <w:spacing w:before="122"/>
              <w:ind w:left="111"/>
              <w:rPr>
                <w:rFonts w:hint="eastAsia" w:eastAsia="宋体"/>
                <w:sz w:val="18"/>
                <w:lang w:eastAsia="zh-CN"/>
              </w:rPr>
            </w:pPr>
            <w:r>
              <w:rPr>
                <w:rFonts w:hint="eastAsia"/>
                <w:sz w:val="18"/>
                <w:lang w:val="en-US" w:eastAsia="zh-CN"/>
              </w:rPr>
              <w:t>还原糖</w:t>
            </w:r>
            <w:r>
              <w:rPr>
                <w:sz w:val="18"/>
              </w:rPr>
              <w:t>（</w:t>
            </w:r>
            <w:r>
              <w:rPr>
                <w:rFonts w:ascii="Times New Roman" w:eastAsia="Times New Roman"/>
                <w:sz w:val="18"/>
              </w:rPr>
              <w:t>%</w:t>
            </w:r>
            <w:r>
              <w:rPr>
                <w:rFonts w:hint="eastAsia" w:ascii="Times New Roman" w:eastAsia="宋体"/>
                <w:sz w:val="18"/>
                <w:lang w:eastAsia="zh-CN"/>
              </w:rPr>
              <w:t>）</w:t>
            </w:r>
          </w:p>
        </w:tc>
        <w:tc>
          <w:tcPr>
            <w:tcW w:w="2415" w:type="dxa"/>
          </w:tcPr>
          <w:p w14:paraId="48439A75">
            <w:pPr>
              <w:pStyle w:val="11"/>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11"/>
              <w:spacing w:before="119"/>
              <w:ind w:left="297" w:right="276"/>
              <w:jc w:val="center"/>
              <w:rPr>
                <w:sz w:val="18"/>
              </w:rPr>
            </w:pPr>
            <w:r>
              <w:rPr>
                <w:sz w:val="18"/>
              </w:rPr>
              <w:t>必检</w:t>
            </w:r>
          </w:p>
        </w:tc>
      </w:tr>
      <w:tr w14:paraId="0DC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4A05AE07">
            <w:pPr>
              <w:pStyle w:val="11"/>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268575B8">
      <w:pPr>
        <w:pStyle w:val="3"/>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3"/>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2C0EEC">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71D523F"/>
    <w:rsid w:val="385C0B47"/>
    <w:rsid w:val="3A1D0D76"/>
    <w:rsid w:val="3B743BE0"/>
    <w:rsid w:val="40081B38"/>
    <w:rsid w:val="42F368F2"/>
    <w:rsid w:val="43881600"/>
    <w:rsid w:val="4445400D"/>
    <w:rsid w:val="44B00A3B"/>
    <w:rsid w:val="4C83266E"/>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1816</Words>
  <Characters>1989</Characters>
  <TotalTime>0</TotalTime>
  <ScaleCrop>false</ScaleCrop>
  <LinksUpToDate>false</LinksUpToDate>
  <CharactersWithSpaces>2999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2025-08-05T03:11:19Z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