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11170吨苜蓿草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QJKJ-CG-MXC-20250710</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11170吨苜蓿草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11170吨苜蓿草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bookmarkStart w:id="0" w:name="_GoBack"/>
      <w:bookmarkEnd w:id="0"/>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0A75249">
      <w:pPr>
        <w:spacing w:before="76" w:line="379" w:lineRule="auto"/>
        <w:ind w:right="775" w:firstLine="552" w:firstLineChars="200"/>
        <w:rPr>
          <w:rFonts w:ascii="宋体" w:hAnsi="宋体" w:eastAsia="宋体" w:cs="宋体"/>
          <w:sz w:val="24"/>
          <w:szCs w:val="24"/>
        </w:rPr>
      </w:pPr>
      <w:r>
        <w:rPr>
          <w:rFonts w:ascii="宋体" w:hAnsi="宋体" w:eastAsia="宋体" w:cs="宋体"/>
          <w:spacing w:val="18"/>
          <w:sz w:val="24"/>
          <w:szCs w:val="24"/>
        </w:rPr>
        <w:t>苜蓿</w:t>
      </w:r>
      <w:r>
        <w:rPr>
          <w:rFonts w:ascii="宋体" w:hAnsi="宋体" w:eastAsia="宋体" w:cs="宋体"/>
          <w:spacing w:val="15"/>
          <w:sz w:val="24"/>
          <w:szCs w:val="24"/>
        </w:rPr>
        <w:t>干</w:t>
      </w:r>
      <w:r>
        <w:rPr>
          <w:rFonts w:ascii="宋体" w:hAnsi="宋体" w:eastAsia="宋体" w:cs="宋体"/>
          <w:spacing w:val="9"/>
          <w:sz w:val="24"/>
          <w:szCs w:val="24"/>
        </w:rPr>
        <w:t>草要求表面绿色或浅绿色，因日晒、雨淋或贮藏等原因导致干草表面发</w:t>
      </w:r>
      <w:r>
        <w:rPr>
          <w:rFonts w:ascii="宋体" w:hAnsi="宋体" w:eastAsia="宋体" w:cs="宋体"/>
          <w:spacing w:val="10"/>
          <w:sz w:val="24"/>
          <w:szCs w:val="24"/>
        </w:rPr>
        <w:t>黄或失绿的，其内部应为绿色或浅绿色。无异味或有干草芳香味。无霉变。茎叶</w:t>
      </w:r>
      <w:r>
        <w:rPr>
          <w:rFonts w:ascii="宋体" w:hAnsi="宋体" w:eastAsia="宋体" w:cs="宋体"/>
          <w:spacing w:val="3"/>
          <w:sz w:val="24"/>
          <w:szCs w:val="24"/>
        </w:rPr>
        <w:t>保</w:t>
      </w:r>
      <w:r>
        <w:rPr>
          <w:rFonts w:ascii="宋体" w:hAnsi="宋体" w:eastAsia="宋体" w:cs="宋体"/>
          <w:spacing w:val="5"/>
          <w:sz w:val="24"/>
          <w:szCs w:val="24"/>
        </w:rPr>
        <w:t>存较完好</w:t>
      </w:r>
      <w:r>
        <w:rPr>
          <w:rFonts w:ascii="宋体" w:hAnsi="宋体" w:eastAsia="宋体" w:cs="宋体"/>
          <w:spacing w:val="4"/>
          <w:sz w:val="24"/>
          <w:szCs w:val="24"/>
        </w:rPr>
        <w:t>。</w:t>
      </w:r>
    </w:p>
    <w:p w14:paraId="43266A4A">
      <w:pPr>
        <w:spacing w:line="310" w:lineRule="exact"/>
        <w:ind w:left="494"/>
        <w:rPr>
          <w:sz w:val="18"/>
          <w:szCs w:val="18"/>
        </w:rPr>
      </w:pPr>
      <w:r>
        <w:rPr>
          <w:rFonts w:hint="eastAsia" w:ascii="宋体" w:hAnsi="宋体" w:eastAsia="宋体" w:cs="宋体"/>
          <w:spacing w:val="6"/>
          <w:position w:val="1"/>
          <w:sz w:val="18"/>
          <w:szCs w:val="18"/>
          <w:lang w:val="en-US" w:eastAsia="zh-CN"/>
          <w14:textOutline w14:w="4358" w14:cap="sq" w14:cmpd="sng">
            <w14:solidFill>
              <w14:srgbClr w14:val="000000"/>
            </w14:solidFill>
            <w14:prstDash w14:val="solid"/>
            <w14:bevel/>
          </w14:textOutline>
        </w:rPr>
        <w:t>1</w:t>
      </w:r>
      <w:r>
        <w:rPr>
          <w:rFonts w:ascii="宋体" w:hAnsi="宋体" w:eastAsia="宋体" w:cs="宋体"/>
          <w:spacing w:val="6"/>
          <w:position w:val="1"/>
          <w:sz w:val="18"/>
          <w:szCs w:val="18"/>
          <w14:textOutline w14:w="4358" w14:cap="sq" w14:cmpd="sng">
            <w14:solidFill>
              <w14:srgbClr w14:val="000000"/>
            </w14:solidFill>
            <w14:prstDash w14:val="solid"/>
            <w14:bevel/>
          </w14:textOutline>
        </w:rPr>
        <w:t>、技术指标</w:t>
      </w:r>
    </w:p>
    <w:p w14:paraId="289D0090">
      <w:pPr>
        <w:spacing w:line="41" w:lineRule="exact"/>
        <w:rPr>
          <w:sz w:val="18"/>
          <w:szCs w:val="18"/>
        </w:rPr>
      </w:pPr>
    </w:p>
    <w:tbl>
      <w:tblPr>
        <w:tblStyle w:val="8"/>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tblGrid>
      <w:tr w14:paraId="37F6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trPr>
        <w:tc>
          <w:tcPr>
            <w:tcW w:w="2891" w:type="dxa"/>
            <w:gridSpan w:val="2"/>
            <w:vAlign w:val="top"/>
          </w:tcPr>
          <w:p w14:paraId="14A001F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642CD1B3">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33BA4D3D">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298B7F16">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6C6EAB41">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7FDE5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6EE6B04B">
            <w:pPr>
              <w:spacing w:line="322" w:lineRule="auto"/>
              <w:rPr>
                <w:rFonts w:ascii="Arial"/>
                <w:sz w:val="18"/>
                <w:szCs w:val="18"/>
              </w:rPr>
            </w:pPr>
          </w:p>
          <w:p w14:paraId="7AC96D40">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7718C790">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1C430538">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43B59652">
            <w:pPr>
              <w:spacing w:before="142" w:line="227" w:lineRule="exact"/>
              <w:ind w:left="534"/>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23419BBB">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38907FCE">
            <w:pPr>
              <w:spacing w:before="226" w:line="194" w:lineRule="auto"/>
              <w:ind w:left="529"/>
              <w:rPr>
                <w:rFonts w:ascii="宋体" w:hAnsi="宋体" w:eastAsia="宋体" w:cs="宋体"/>
                <w:sz w:val="18"/>
                <w:szCs w:val="18"/>
              </w:rPr>
            </w:pPr>
            <w:r>
              <w:rPr>
                <w:rFonts w:ascii="宋体" w:hAnsi="宋体" w:eastAsia="宋体" w:cs="宋体"/>
                <w:sz w:val="18"/>
                <w:szCs w:val="18"/>
              </w:rPr>
              <w:t>-</w:t>
            </w:r>
          </w:p>
        </w:tc>
      </w:tr>
      <w:tr w14:paraId="4C06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0B980A8E">
            <w:pPr>
              <w:rPr>
                <w:rFonts w:ascii="Arial"/>
                <w:sz w:val="18"/>
                <w:szCs w:val="18"/>
              </w:rPr>
            </w:pPr>
          </w:p>
        </w:tc>
        <w:tc>
          <w:tcPr>
            <w:tcW w:w="1964" w:type="dxa"/>
            <w:vAlign w:val="top"/>
          </w:tcPr>
          <w:p w14:paraId="1AA040CD">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63A11B">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911AD97">
            <w:pPr>
              <w:spacing w:before="146"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3DD7459F">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F4B920D">
            <w:pPr>
              <w:spacing w:before="230" w:line="194" w:lineRule="auto"/>
              <w:ind w:left="529"/>
              <w:rPr>
                <w:rFonts w:ascii="宋体" w:hAnsi="宋体" w:eastAsia="宋体" w:cs="宋体"/>
                <w:sz w:val="18"/>
                <w:szCs w:val="18"/>
              </w:rPr>
            </w:pPr>
            <w:r>
              <w:rPr>
                <w:rFonts w:ascii="宋体" w:hAnsi="宋体" w:eastAsia="宋体" w:cs="宋体"/>
                <w:sz w:val="18"/>
                <w:szCs w:val="18"/>
              </w:rPr>
              <w:t>-</w:t>
            </w:r>
          </w:p>
        </w:tc>
      </w:tr>
      <w:tr w14:paraId="67386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598F6C66">
            <w:pPr>
              <w:spacing w:line="265" w:lineRule="auto"/>
              <w:rPr>
                <w:rFonts w:ascii="Arial"/>
                <w:sz w:val="18"/>
                <w:szCs w:val="18"/>
              </w:rPr>
            </w:pPr>
          </w:p>
          <w:p w14:paraId="732C2080">
            <w:pPr>
              <w:spacing w:line="265" w:lineRule="auto"/>
              <w:rPr>
                <w:rFonts w:ascii="Arial"/>
                <w:sz w:val="18"/>
                <w:szCs w:val="18"/>
              </w:rPr>
            </w:pPr>
          </w:p>
          <w:p w14:paraId="0FED882A">
            <w:pPr>
              <w:spacing w:line="265" w:lineRule="auto"/>
              <w:rPr>
                <w:rFonts w:ascii="Arial"/>
                <w:sz w:val="18"/>
                <w:szCs w:val="18"/>
              </w:rPr>
            </w:pPr>
          </w:p>
          <w:p w14:paraId="66C114E1">
            <w:pPr>
              <w:spacing w:before="56" w:line="231" w:lineRule="auto"/>
              <w:rPr>
                <w:rFonts w:ascii="宋体" w:hAnsi="宋体" w:eastAsia="宋体" w:cs="宋体"/>
                <w:sz w:val="18"/>
                <w:szCs w:val="18"/>
              </w:rPr>
            </w:pPr>
            <w:r>
              <w:rPr>
                <w:rFonts w:ascii="宋体" w:hAnsi="宋体" w:eastAsia="宋体" w:cs="宋体"/>
                <w:spacing w:val="6"/>
                <w:sz w:val="18"/>
                <w:szCs w:val="18"/>
              </w:rPr>
              <w:t>理</w:t>
            </w:r>
            <w:r>
              <w:rPr>
                <w:rFonts w:ascii="宋体" w:hAnsi="宋体" w:eastAsia="宋体" w:cs="宋体"/>
                <w:spacing w:val="5"/>
                <w:sz w:val="18"/>
                <w:szCs w:val="18"/>
              </w:rPr>
              <w:t>化指标</w:t>
            </w:r>
          </w:p>
        </w:tc>
        <w:tc>
          <w:tcPr>
            <w:tcW w:w="1964" w:type="dxa"/>
            <w:vAlign w:val="top"/>
          </w:tcPr>
          <w:p w14:paraId="15151FA6">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2EBBCA15">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829" w:type="dxa"/>
            <w:vAlign w:val="top"/>
          </w:tcPr>
          <w:p w14:paraId="371BA190">
            <w:pPr>
              <w:spacing w:before="143" w:line="227" w:lineRule="exact"/>
              <w:ind w:left="421"/>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13.5</w:t>
            </w:r>
          </w:p>
        </w:tc>
        <w:tc>
          <w:tcPr>
            <w:tcW w:w="1416" w:type="dxa"/>
            <w:vAlign w:val="top"/>
          </w:tcPr>
          <w:p w14:paraId="36F8B975">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5A1DF00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21F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7" w:type="dxa"/>
            <w:vMerge w:val="continue"/>
            <w:tcBorders>
              <w:top w:val="nil"/>
              <w:bottom w:val="nil"/>
            </w:tcBorders>
            <w:vAlign w:val="top"/>
          </w:tcPr>
          <w:p w14:paraId="5220507C">
            <w:pPr>
              <w:rPr>
                <w:rFonts w:ascii="Arial"/>
                <w:sz w:val="18"/>
                <w:szCs w:val="18"/>
              </w:rPr>
            </w:pPr>
          </w:p>
        </w:tc>
        <w:tc>
          <w:tcPr>
            <w:tcW w:w="1964" w:type="dxa"/>
            <w:vAlign w:val="top"/>
          </w:tcPr>
          <w:p w14:paraId="4B767B3F">
            <w:pPr>
              <w:spacing w:before="98" w:line="231" w:lineRule="auto"/>
              <w:ind w:left="53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435E197B">
            <w:pPr>
              <w:spacing w:before="98" w:line="232" w:lineRule="auto"/>
              <w:ind w:left="473"/>
              <w:jc w:val="center"/>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一</w:t>
            </w:r>
            <w:r>
              <w:rPr>
                <w:rFonts w:ascii="宋体" w:hAnsi="宋体" w:eastAsia="宋体" w:cs="宋体"/>
                <w:spacing w:val="2"/>
                <w:sz w:val="18"/>
                <w:szCs w:val="18"/>
                <w14:textOutline w14:w="3268" w14:cap="sq" w14:cmpd="sng">
                  <w14:solidFill>
                    <w14:srgbClr w14:val="000000"/>
                  </w14:solidFill>
                  <w14:prstDash w14:val="solid"/>
                  <w14:bevel/>
                </w14:textOutline>
              </w:rPr>
              <w:t>级</w:t>
            </w:r>
          </w:p>
        </w:tc>
        <w:tc>
          <w:tcPr>
            <w:tcW w:w="1829" w:type="dxa"/>
            <w:vAlign w:val="top"/>
          </w:tcPr>
          <w:p w14:paraId="34CA5ADD">
            <w:pPr>
              <w:spacing w:before="98" w:line="230" w:lineRule="auto"/>
              <w:ind w:left="291"/>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等外</w:t>
            </w:r>
          </w:p>
        </w:tc>
        <w:tc>
          <w:tcPr>
            <w:tcW w:w="1416" w:type="dxa"/>
            <w:vAlign w:val="top"/>
          </w:tcPr>
          <w:p w14:paraId="3E522886">
            <w:pPr>
              <w:spacing w:before="98" w:line="230" w:lineRule="auto"/>
              <w:ind w:left="185"/>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67D2663">
            <w:pPr>
              <w:spacing w:before="98"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r>
      <w:tr w14:paraId="2FE36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035E54EA">
            <w:pPr>
              <w:rPr>
                <w:rFonts w:ascii="Arial"/>
                <w:sz w:val="18"/>
                <w:szCs w:val="18"/>
              </w:rPr>
            </w:pPr>
          </w:p>
        </w:tc>
        <w:tc>
          <w:tcPr>
            <w:tcW w:w="1964" w:type="dxa"/>
            <w:vAlign w:val="top"/>
          </w:tcPr>
          <w:p w14:paraId="642AF683">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66A96308">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63173FD2">
            <w:pPr>
              <w:spacing w:before="144" w:line="228" w:lineRule="exact"/>
              <w:ind w:left="492"/>
              <w:rPr>
                <w:rFonts w:ascii="宋体" w:hAnsi="宋体" w:eastAsia="宋体" w:cs="宋体"/>
                <w:sz w:val="18"/>
                <w:szCs w:val="18"/>
              </w:rPr>
            </w:pPr>
            <w:r>
              <w:rPr>
                <w:rFonts w:ascii="宋体" w:hAnsi="宋体" w:eastAsia="宋体" w:cs="宋体"/>
                <w:spacing w:val="-5"/>
                <w:position w:val="1"/>
                <w:sz w:val="18"/>
                <w:szCs w:val="18"/>
              </w:rPr>
              <w:t>≥</w:t>
            </w:r>
            <w:r>
              <w:rPr>
                <w:rFonts w:ascii="宋体" w:hAnsi="宋体" w:eastAsia="宋体" w:cs="宋体"/>
                <w:spacing w:val="-3"/>
                <w:position w:val="1"/>
                <w:sz w:val="18"/>
                <w:szCs w:val="18"/>
              </w:rPr>
              <w:t>16</w:t>
            </w:r>
          </w:p>
        </w:tc>
        <w:tc>
          <w:tcPr>
            <w:tcW w:w="1416" w:type="dxa"/>
            <w:vAlign w:val="top"/>
          </w:tcPr>
          <w:p w14:paraId="71A1EEEB">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33095F7">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7E29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5E226DA1">
            <w:pPr>
              <w:rPr>
                <w:rFonts w:ascii="Arial"/>
                <w:sz w:val="18"/>
                <w:szCs w:val="18"/>
              </w:rPr>
            </w:pPr>
          </w:p>
        </w:tc>
        <w:tc>
          <w:tcPr>
            <w:tcW w:w="1964" w:type="dxa"/>
            <w:vAlign w:val="top"/>
          </w:tcPr>
          <w:p w14:paraId="723A686A">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19DFABD">
            <w:pPr>
              <w:spacing w:before="143" w:line="255" w:lineRule="auto"/>
              <w:ind w:right="251"/>
              <w:jc w:val="center"/>
              <w:rPr>
                <w:rFonts w:ascii="Times New Roman" w:hAnsi="Times New Roman" w:eastAsia="Times New Roman" w:cs="Times New Roman"/>
                <w:sz w:val="15"/>
                <w:szCs w:val="15"/>
              </w:rPr>
            </w:pPr>
            <w:r>
              <w:rPr>
                <w:rFonts w:ascii="宋体" w:hAnsi="宋体" w:eastAsia="宋体" w:cs="宋体"/>
                <w:spacing w:val="-3"/>
                <w:sz w:val="15"/>
                <w:szCs w:val="15"/>
              </w:rPr>
              <w:t>≥</w:t>
            </w:r>
            <w:r>
              <w:rPr>
                <w:rFonts w:ascii="Times New Roman" w:hAnsi="Times New Roman" w:eastAsia="Times New Roman" w:cs="Times New Roman"/>
                <w:spacing w:val="-2"/>
                <w:sz w:val="15"/>
                <w:szCs w:val="15"/>
              </w:rPr>
              <w:t>150</w:t>
            </w:r>
            <w:r>
              <w:rPr>
                <w:rFonts w:ascii="宋体" w:hAnsi="宋体" w:eastAsia="宋体" w:cs="宋体"/>
                <w:spacing w:val="-2"/>
                <w:sz w:val="15"/>
                <w:szCs w:val="15"/>
              </w:rPr>
              <w:t>且＜</w:t>
            </w:r>
            <w:r>
              <w:rPr>
                <w:rFonts w:ascii="宋体" w:hAnsi="宋体" w:eastAsia="宋体" w:cs="宋体"/>
                <w:sz w:val="15"/>
                <w:szCs w:val="15"/>
              </w:rPr>
              <w:t xml:space="preserve"> </w:t>
            </w:r>
            <w:r>
              <w:rPr>
                <w:rFonts w:ascii="Times New Roman" w:hAnsi="Times New Roman" w:eastAsia="Times New Roman" w:cs="Times New Roman"/>
                <w:spacing w:val="-3"/>
                <w:sz w:val="15"/>
                <w:szCs w:val="15"/>
              </w:rPr>
              <w:t>180</w:t>
            </w:r>
          </w:p>
        </w:tc>
        <w:tc>
          <w:tcPr>
            <w:tcW w:w="1829" w:type="dxa"/>
            <w:vAlign w:val="top"/>
          </w:tcPr>
          <w:p w14:paraId="2E763459">
            <w:pPr>
              <w:spacing w:before="143" w:line="233" w:lineRule="exact"/>
              <w:rPr>
                <w:rFonts w:ascii="宋体" w:hAnsi="宋体" w:eastAsia="宋体" w:cs="宋体"/>
                <w:sz w:val="15"/>
                <w:szCs w:val="15"/>
              </w:rPr>
            </w:pPr>
            <w:r>
              <w:rPr>
                <w:rFonts w:ascii="宋体" w:hAnsi="宋体" w:eastAsia="宋体" w:cs="宋体"/>
                <w:spacing w:val="-3"/>
                <w:position w:val="3"/>
                <w:sz w:val="20"/>
                <w:szCs w:val="20"/>
              </w:rPr>
              <w:t>≥</w:t>
            </w:r>
            <w:r>
              <w:rPr>
                <w:rFonts w:ascii="宋体" w:hAnsi="宋体" w:eastAsia="宋体" w:cs="宋体"/>
                <w:spacing w:val="-2"/>
                <w:position w:val="3"/>
                <w:sz w:val="20"/>
                <w:szCs w:val="20"/>
              </w:rPr>
              <w:t>125且</w:t>
            </w:r>
            <w:r>
              <w:rPr>
                <w:rFonts w:ascii="宋体" w:hAnsi="宋体" w:eastAsia="宋体" w:cs="宋体"/>
                <w:spacing w:val="-2"/>
                <w:sz w:val="20"/>
                <w:szCs w:val="20"/>
              </w:rPr>
              <w:t>＜14</w:t>
            </w:r>
            <w:r>
              <w:rPr>
                <w:rFonts w:ascii="宋体" w:hAnsi="宋体" w:eastAsia="宋体" w:cs="宋体"/>
                <w:spacing w:val="-1"/>
                <w:sz w:val="20"/>
                <w:szCs w:val="20"/>
              </w:rPr>
              <w:t>5</w:t>
            </w:r>
          </w:p>
        </w:tc>
        <w:tc>
          <w:tcPr>
            <w:tcW w:w="1416" w:type="dxa"/>
            <w:vAlign w:val="top"/>
          </w:tcPr>
          <w:p w14:paraId="55BC3A0C">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6F9CCB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r>
      <w:tr w14:paraId="5B47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6C7079C2">
            <w:pPr>
              <w:rPr>
                <w:rFonts w:ascii="Arial"/>
                <w:sz w:val="18"/>
                <w:szCs w:val="18"/>
              </w:rPr>
            </w:pPr>
          </w:p>
        </w:tc>
        <w:tc>
          <w:tcPr>
            <w:tcW w:w="1964" w:type="dxa"/>
            <w:vAlign w:val="top"/>
          </w:tcPr>
          <w:p w14:paraId="70D7485E">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68C8D257">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＜3</w:t>
            </w:r>
          </w:p>
        </w:tc>
        <w:tc>
          <w:tcPr>
            <w:tcW w:w="1829" w:type="dxa"/>
            <w:vAlign w:val="top"/>
          </w:tcPr>
          <w:p w14:paraId="0525391A">
            <w:pPr>
              <w:spacing w:before="145" w:line="230" w:lineRule="exact"/>
              <w:ind w:left="531"/>
              <w:rPr>
                <w:rFonts w:ascii="宋体" w:hAnsi="宋体" w:eastAsia="宋体" w:cs="宋体"/>
                <w:sz w:val="18"/>
                <w:szCs w:val="18"/>
              </w:rPr>
            </w:pPr>
            <w:r>
              <w:rPr>
                <w:rFonts w:ascii="宋体" w:hAnsi="宋体" w:eastAsia="宋体" w:cs="宋体"/>
                <w:spacing w:val="-6"/>
                <w:position w:val="1"/>
                <w:sz w:val="18"/>
                <w:szCs w:val="18"/>
              </w:rPr>
              <w:t>＜</w:t>
            </w:r>
            <w:r>
              <w:rPr>
                <w:rFonts w:ascii="宋体" w:hAnsi="宋体" w:eastAsia="宋体" w:cs="宋体"/>
                <w:spacing w:val="-5"/>
                <w:position w:val="1"/>
                <w:sz w:val="18"/>
                <w:szCs w:val="18"/>
              </w:rPr>
              <w:t>5</w:t>
            </w:r>
          </w:p>
        </w:tc>
        <w:tc>
          <w:tcPr>
            <w:tcW w:w="1416" w:type="dxa"/>
            <w:vAlign w:val="top"/>
          </w:tcPr>
          <w:p w14:paraId="46148F22">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784D7711">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r>
      <w:tr w14:paraId="4851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09C9135C">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01E74B75">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r>
      <w:tr w14:paraId="0702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00CE569B">
            <w:pPr>
              <w:spacing w:before="71" w:line="235" w:lineRule="auto"/>
              <w:ind w:left="119"/>
              <w:rPr>
                <w:rFonts w:ascii="宋体" w:hAnsi="宋体" w:eastAsia="宋体" w:cs="宋体"/>
                <w:sz w:val="18"/>
                <w:szCs w:val="18"/>
              </w:rPr>
            </w:pPr>
            <w:r>
              <w:rPr>
                <w:rFonts w:ascii="宋体" w:hAnsi="宋体" w:eastAsia="宋体" w:cs="宋体"/>
                <w:spacing w:val="8"/>
                <w:sz w:val="18"/>
                <w:szCs w:val="18"/>
              </w:rPr>
              <w:t>注：</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、反刍专用，注意霉变，必要时检测霉菌总数；</w:t>
            </w:r>
          </w:p>
          <w:p w14:paraId="605D14F6">
            <w:pPr>
              <w:spacing w:before="98" w:line="227" w:lineRule="exact"/>
              <w:ind w:left="476"/>
              <w:rPr>
                <w:rFonts w:ascii="宋体" w:hAnsi="宋体" w:eastAsia="宋体" w:cs="宋体"/>
                <w:sz w:val="18"/>
                <w:szCs w:val="18"/>
              </w:rPr>
            </w:pPr>
            <w:r>
              <w:rPr>
                <w:rFonts w:ascii="Times New Roman" w:hAnsi="Times New Roman" w:eastAsia="Times New Roman" w:cs="Times New Roman"/>
                <w:spacing w:val="12"/>
                <w:position w:val="1"/>
                <w:sz w:val="18"/>
                <w:szCs w:val="18"/>
              </w:rPr>
              <w:t>2</w:t>
            </w:r>
            <w:r>
              <w:rPr>
                <w:rFonts w:ascii="宋体" w:hAnsi="宋体" w:eastAsia="宋体" w:cs="宋体"/>
                <w:spacing w:val="12"/>
                <w:position w:val="1"/>
                <w:sz w:val="18"/>
                <w:szCs w:val="18"/>
              </w:rPr>
              <w:t>、</w:t>
            </w:r>
            <w:r>
              <w:rPr>
                <w:rFonts w:ascii="宋体" w:hAnsi="宋体" w:eastAsia="宋体" w:cs="宋体"/>
                <w:spacing w:val="9"/>
                <w:position w:val="1"/>
                <w:sz w:val="18"/>
                <w:szCs w:val="18"/>
              </w:rPr>
              <w:t>不</w:t>
            </w:r>
            <w:r>
              <w:rPr>
                <w:rFonts w:ascii="宋体" w:hAnsi="宋体" w:eastAsia="宋体" w:cs="宋体"/>
                <w:spacing w:val="6"/>
                <w:position w:val="1"/>
                <w:sz w:val="18"/>
                <w:szCs w:val="18"/>
              </w:rPr>
              <w:t>得人为添加非蛋白氮，无任何添加剂，否则将追究法律责任；</w:t>
            </w:r>
          </w:p>
          <w:p w14:paraId="0E34FBC2">
            <w:pPr>
              <w:spacing w:before="54" w:line="357" w:lineRule="auto"/>
              <w:ind w:left="120" w:right="256" w:firstLine="359"/>
              <w:rPr>
                <w:rFonts w:ascii="宋体" w:hAnsi="宋体" w:eastAsia="宋体" w:cs="宋体"/>
                <w:sz w:val="18"/>
                <w:szCs w:val="18"/>
              </w:rPr>
            </w:pPr>
            <w:r>
              <w:rPr>
                <w:rFonts w:ascii="Times New Roman" w:hAnsi="Times New Roman" w:eastAsia="Times New Roman" w:cs="Times New Roman"/>
                <w:spacing w:val="6"/>
                <w:sz w:val="18"/>
                <w:szCs w:val="18"/>
              </w:rPr>
              <w:t xml:space="preserve">3 </w:t>
            </w:r>
            <w:r>
              <w:rPr>
                <w:rFonts w:ascii="宋体" w:hAnsi="宋体" w:eastAsia="宋体" w:cs="宋体"/>
                <w:spacing w:val="6"/>
                <w:sz w:val="18"/>
                <w:szCs w:val="18"/>
              </w:rPr>
              <w:t xml:space="preserve">、相对饲用价值 </w:t>
            </w:r>
            <w:r>
              <w:rPr>
                <w:rFonts w:ascii="Times New Roman" w:hAnsi="Times New Roman" w:eastAsia="Times New Roman" w:cs="Times New Roman"/>
                <w:sz w:val="18"/>
                <w:szCs w:val="18"/>
              </w:rPr>
              <w:t>RFV</w:t>
            </w:r>
            <w:r>
              <w:rPr>
                <w:rFonts w:ascii="Times New Roman" w:hAnsi="Times New Roman" w:eastAsia="Times New Roman" w:cs="Times New Roman"/>
                <w:spacing w:val="3"/>
                <w:sz w:val="18"/>
                <w:szCs w:val="18"/>
              </w:rPr>
              <w:t>= 120/</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 [88.9-0.779</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w:t>
            </w:r>
            <w:r>
              <w:rPr>
                <w:rFonts w:ascii="Times New Roman" w:hAnsi="Times New Roman" w:eastAsia="Times New Roman" w:cs="Times New Roman"/>
                <w:spacing w:val="3"/>
                <w:sz w:val="18"/>
                <w:szCs w:val="18"/>
              </w:rPr>
              <w:t>%</w:t>
            </w:r>
            <w:r>
              <w:rPr>
                <w:rFonts w:ascii="Times New Roman" w:hAnsi="Times New Roman" w:eastAsia="Times New Roman" w:cs="Times New Roman"/>
                <w:sz w:val="18"/>
                <w:szCs w:val="18"/>
              </w:rPr>
              <w:t>DM</w:t>
            </w: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]/1.29</w:t>
            </w:r>
            <w:r>
              <w:rPr>
                <w:rFonts w:ascii="宋体" w:hAnsi="宋体" w:eastAsia="宋体" w:cs="宋体"/>
                <w:spacing w:val="3"/>
                <w:sz w:val="18"/>
                <w:szCs w:val="18"/>
              </w:rPr>
              <w:t>；</w:t>
            </w:r>
            <w:r>
              <w:rPr>
                <w:rFonts w:ascii="Times New Roman" w:hAnsi="Times New Roman" w:eastAsia="Times New Roman" w:cs="Times New Roman"/>
                <w:sz w:val="18"/>
                <w:szCs w:val="18"/>
              </w:rPr>
              <w:t>ADF</w:t>
            </w:r>
            <w:r>
              <w:rPr>
                <w:rFonts w:ascii="宋体" w:hAnsi="宋体" w:eastAsia="宋体" w:cs="宋体"/>
                <w:spacing w:val="3"/>
                <w:sz w:val="18"/>
                <w:szCs w:val="18"/>
              </w:rPr>
              <w:t>和</w:t>
            </w:r>
            <w:r>
              <w:rPr>
                <w:rFonts w:ascii="Times New Roman" w:hAnsi="Times New Roman" w:eastAsia="Times New Roman" w:cs="Times New Roman"/>
                <w:sz w:val="18"/>
                <w:szCs w:val="18"/>
              </w:rPr>
              <w:t>NDF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数据来源于近红外数据</w:t>
            </w:r>
            <w:r>
              <w:rPr>
                <w:rFonts w:ascii="宋体" w:hAnsi="宋体" w:eastAsia="宋体" w:cs="宋体"/>
                <w:spacing w:val="10"/>
                <w:sz w:val="18"/>
                <w:szCs w:val="18"/>
              </w:rPr>
              <w:t>库</w:t>
            </w:r>
            <w:r>
              <w:rPr>
                <w:rFonts w:ascii="宋体" w:hAnsi="宋体" w:eastAsia="宋体" w:cs="宋体"/>
                <w:spacing w:val="7"/>
                <w:sz w:val="18"/>
                <w:szCs w:val="18"/>
              </w:rPr>
              <w:t>或</w:t>
            </w:r>
            <w:r>
              <w:rPr>
                <w:rFonts w:ascii="宋体" w:hAnsi="宋体" w:eastAsia="宋体" w:cs="宋体"/>
                <w:spacing w:val="5"/>
                <w:sz w:val="18"/>
                <w:szCs w:val="18"/>
              </w:rPr>
              <w:t>干锅检测方法得出相应的检测值；</w:t>
            </w:r>
          </w:p>
          <w:p w14:paraId="6468D774">
            <w:pPr>
              <w:spacing w:before="9" w:line="226" w:lineRule="exact"/>
              <w:ind w:left="475"/>
              <w:rPr>
                <w:rFonts w:ascii="宋体" w:hAnsi="宋体" w:eastAsia="宋体" w:cs="宋体"/>
                <w:sz w:val="18"/>
                <w:szCs w:val="18"/>
              </w:rPr>
            </w:pPr>
            <w:r>
              <w:rPr>
                <w:rFonts w:ascii="Times New Roman" w:hAnsi="Times New Roman" w:eastAsia="Times New Roman" w:cs="Times New Roman"/>
                <w:spacing w:val="12"/>
                <w:position w:val="1"/>
                <w:sz w:val="18"/>
                <w:szCs w:val="18"/>
              </w:rPr>
              <w:t>4</w:t>
            </w:r>
            <w:r>
              <w:rPr>
                <w:rFonts w:ascii="宋体" w:hAnsi="宋体" w:eastAsia="宋体" w:cs="宋体"/>
                <w:spacing w:val="7"/>
                <w:position w:val="1"/>
                <w:sz w:val="18"/>
                <w:szCs w:val="18"/>
              </w:rPr>
              <w:t>、</w:t>
            </w:r>
            <w:r>
              <w:rPr>
                <w:rFonts w:ascii="宋体" w:hAnsi="宋体" w:eastAsia="宋体" w:cs="宋体"/>
                <w:spacing w:val="6"/>
                <w:position w:val="1"/>
                <w:sz w:val="18"/>
                <w:szCs w:val="18"/>
              </w:rPr>
              <w:t>风险指标和卫生指标不合格，拒收处置；</w:t>
            </w:r>
          </w:p>
          <w:p w14:paraId="1E4756CD">
            <w:pPr>
              <w:spacing w:before="53" w:line="242" w:lineRule="exact"/>
              <w:ind w:left="481"/>
              <w:rPr>
                <w:rFonts w:ascii="宋体" w:hAnsi="宋体" w:eastAsia="宋体" w:cs="宋体"/>
                <w:sz w:val="18"/>
                <w:szCs w:val="18"/>
              </w:rPr>
            </w:pPr>
            <w:r>
              <w:rPr>
                <w:rFonts w:ascii="Times New Roman" w:hAnsi="Times New Roman" w:eastAsia="Times New Roman" w:cs="Times New Roman"/>
                <w:spacing w:val="9"/>
                <w:position w:val="2"/>
                <w:sz w:val="18"/>
                <w:szCs w:val="18"/>
              </w:rPr>
              <w:t>5</w:t>
            </w:r>
            <w:r>
              <w:rPr>
                <w:rFonts w:ascii="宋体" w:hAnsi="宋体" w:eastAsia="宋体" w:cs="宋体"/>
                <w:spacing w:val="7"/>
                <w:position w:val="2"/>
                <w:sz w:val="18"/>
                <w:szCs w:val="18"/>
              </w:rPr>
              <w:t>、检测结果的理化指标允许误差范围：</w:t>
            </w:r>
            <w:r>
              <w:rPr>
                <w:rFonts w:ascii="Times New Roman" w:hAnsi="Times New Roman" w:eastAsia="Times New Roman" w:cs="Times New Roman"/>
                <w:position w:val="2"/>
                <w:sz w:val="18"/>
                <w:szCs w:val="18"/>
              </w:rPr>
              <w:t>RFV</w:t>
            </w:r>
            <w:r>
              <w:rPr>
                <w:rFonts w:ascii="Times New Roman" w:hAnsi="Times New Roman" w:eastAsia="Times New Roman" w:cs="Times New Roman"/>
                <w:spacing w:val="7"/>
                <w:position w:val="2"/>
                <w:sz w:val="18"/>
                <w:szCs w:val="18"/>
              </w:rPr>
              <w:t>±5%</w:t>
            </w:r>
            <w:r>
              <w:rPr>
                <w:rFonts w:ascii="宋体" w:hAnsi="宋体" w:eastAsia="宋体" w:cs="宋体"/>
                <w:spacing w:val="7"/>
                <w:position w:val="2"/>
                <w:sz w:val="18"/>
                <w:szCs w:val="18"/>
              </w:rPr>
              <w:t>；</w:t>
            </w:r>
          </w:p>
          <w:p w14:paraId="5BB26F1E">
            <w:pPr>
              <w:spacing w:before="101" w:line="285" w:lineRule="auto"/>
              <w:ind w:left="119" w:right="133" w:firstLine="360"/>
              <w:rPr>
                <w:rFonts w:hint="eastAsia" w:ascii="宋体" w:hAnsi="宋体" w:eastAsia="宋体" w:cs="宋体"/>
                <w:spacing w:val="3"/>
                <w:sz w:val="18"/>
                <w:szCs w:val="18"/>
                <w:lang w:eastAsia="zh-CN"/>
              </w:rPr>
            </w:pPr>
            <w:r>
              <w:rPr>
                <w:rFonts w:ascii="Times New Roman" w:hAnsi="Times New Roman" w:eastAsia="Times New Roman" w:cs="Times New Roman"/>
                <w:spacing w:val="6"/>
                <w:sz w:val="18"/>
                <w:szCs w:val="18"/>
              </w:rPr>
              <w:t>6</w:t>
            </w:r>
            <w:r>
              <w:rPr>
                <w:rFonts w:ascii="宋体" w:hAnsi="宋体" w:eastAsia="宋体" w:cs="宋体"/>
                <w:spacing w:val="6"/>
                <w:sz w:val="18"/>
                <w:szCs w:val="18"/>
              </w:rPr>
              <w:t>、以</w:t>
            </w:r>
            <w:r>
              <w:rPr>
                <w:rFonts w:ascii="Times New Roman" w:hAnsi="Times New Roman" w:eastAsia="Times New Roman" w:cs="Times New Roman"/>
                <w:sz w:val="18"/>
                <w:szCs w:val="18"/>
              </w:rPr>
              <w:t>CP</w:t>
            </w:r>
            <w:r>
              <w:rPr>
                <w:rFonts w:ascii="Times New Roman" w:hAnsi="Times New Roman" w:eastAsia="Times New Roman" w:cs="Times New Roman"/>
                <w:spacing w:val="6"/>
                <w:sz w:val="18"/>
                <w:szCs w:val="18"/>
              </w:rPr>
              <w:t xml:space="preserve"> </w:t>
            </w:r>
            <w:r>
              <w:rPr>
                <w:rFonts w:ascii="宋体" w:hAnsi="宋体" w:eastAsia="宋体" w:cs="宋体"/>
                <w:spacing w:val="6"/>
                <w:sz w:val="18"/>
                <w:szCs w:val="18"/>
              </w:rPr>
              <w:t>、</w:t>
            </w:r>
            <w:r>
              <w:rPr>
                <w:rFonts w:ascii="Times New Roman" w:hAnsi="Times New Roman" w:eastAsia="Times New Roman" w:cs="Times New Roman"/>
                <w:sz w:val="18"/>
                <w:szCs w:val="18"/>
              </w:rPr>
              <w:t>RFV</w:t>
            </w:r>
            <w:r>
              <w:rPr>
                <w:rFonts w:ascii="宋体" w:hAnsi="宋体" w:eastAsia="宋体" w:cs="宋体"/>
                <w:spacing w:val="6"/>
                <w:sz w:val="18"/>
                <w:szCs w:val="18"/>
              </w:rPr>
              <w:t>，</w:t>
            </w:r>
            <w:r>
              <w:rPr>
                <w:rFonts w:ascii="Times New Roman" w:hAnsi="Times New Roman" w:eastAsia="Times New Roman" w:cs="Times New Roman"/>
                <w:spacing w:val="6"/>
                <w:sz w:val="18"/>
                <w:szCs w:val="18"/>
              </w:rPr>
              <w:t xml:space="preserve">2 </w:t>
            </w:r>
            <w:r>
              <w:rPr>
                <w:rFonts w:ascii="宋体" w:hAnsi="宋体" w:eastAsia="宋体" w:cs="宋体"/>
                <w:spacing w:val="6"/>
                <w:sz w:val="18"/>
                <w:szCs w:val="18"/>
              </w:rPr>
              <w:t>个</w:t>
            </w:r>
            <w:r>
              <w:rPr>
                <w:rFonts w:ascii="宋体" w:hAnsi="宋体" w:eastAsia="宋体" w:cs="宋体"/>
                <w:spacing w:val="5"/>
                <w:sz w:val="18"/>
                <w:szCs w:val="18"/>
              </w:rPr>
              <w:t>指</w:t>
            </w:r>
            <w:r>
              <w:rPr>
                <w:rFonts w:ascii="宋体" w:hAnsi="宋体" w:eastAsia="宋体" w:cs="宋体"/>
                <w:spacing w:val="3"/>
                <w:sz w:val="18"/>
                <w:szCs w:val="18"/>
              </w:rPr>
              <w:t>标确定等级 (</w:t>
            </w:r>
            <w:r>
              <w:rPr>
                <w:rFonts w:ascii="Times New Roman" w:hAnsi="Times New Roman" w:eastAsia="Times New Roman" w:cs="Times New Roman"/>
                <w:sz w:val="18"/>
                <w:szCs w:val="18"/>
              </w:rPr>
              <w:t>NDF</w:t>
            </w:r>
            <w:r>
              <w:rPr>
                <w:rFonts w:ascii="宋体" w:hAnsi="宋体" w:eastAsia="宋体" w:cs="宋体"/>
                <w:spacing w:val="3"/>
                <w:sz w:val="18"/>
                <w:szCs w:val="18"/>
              </w:rPr>
              <w:t>和</w:t>
            </w:r>
            <w:r>
              <w:rPr>
                <w:rFonts w:ascii="Times New Roman" w:hAnsi="Times New Roman" w:eastAsia="Times New Roman" w:cs="Times New Roman"/>
                <w:sz w:val="18"/>
                <w:szCs w:val="18"/>
              </w:rPr>
              <w:t>ADF</w:t>
            </w: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只作为参考，不做验收时的强制指标) ，干草样品的</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个指标各自</w:t>
            </w:r>
            <w:r>
              <w:rPr>
                <w:rFonts w:ascii="宋体" w:hAnsi="宋体" w:eastAsia="宋体" w:cs="宋体"/>
                <w:sz w:val="18"/>
                <w:szCs w:val="18"/>
              </w:rPr>
              <w:t xml:space="preserve"> </w:t>
            </w:r>
            <w:r>
              <w:rPr>
                <w:rFonts w:ascii="宋体" w:hAnsi="宋体" w:eastAsia="宋体" w:cs="宋体"/>
                <w:spacing w:val="6"/>
                <w:sz w:val="18"/>
                <w:szCs w:val="18"/>
              </w:rPr>
              <w:t>找对应等级，</w:t>
            </w:r>
            <w:r>
              <w:rPr>
                <w:rFonts w:ascii="宋体" w:hAnsi="宋体" w:eastAsia="宋体" w:cs="宋体"/>
                <w:spacing w:val="3"/>
                <w:sz w:val="18"/>
                <w:szCs w:val="18"/>
              </w:rPr>
              <w:t xml:space="preserve">最后等级以 </w:t>
            </w:r>
            <w:r>
              <w:rPr>
                <w:rFonts w:ascii="Times New Roman" w:hAnsi="Times New Roman" w:eastAsia="Times New Roman" w:cs="Times New Roman"/>
                <w:spacing w:val="3"/>
                <w:sz w:val="18"/>
                <w:szCs w:val="18"/>
              </w:rPr>
              <w:t xml:space="preserve">2 </w:t>
            </w:r>
            <w:r>
              <w:rPr>
                <w:rFonts w:ascii="宋体" w:hAnsi="宋体" w:eastAsia="宋体" w:cs="宋体"/>
                <w:spacing w:val="3"/>
                <w:sz w:val="18"/>
                <w:szCs w:val="18"/>
              </w:rPr>
              <w:t>个指标最低等级为准</w:t>
            </w:r>
            <w:r>
              <w:rPr>
                <w:rFonts w:hint="eastAsia" w:ascii="宋体" w:hAnsi="宋体" w:eastAsia="宋体" w:cs="宋体"/>
                <w:spacing w:val="3"/>
                <w:sz w:val="18"/>
                <w:szCs w:val="18"/>
                <w:lang w:eastAsia="zh-CN"/>
              </w:rPr>
              <w:t>；</w:t>
            </w:r>
          </w:p>
          <w:p w14:paraId="60FDF4D7">
            <w:pPr>
              <w:spacing w:before="101" w:line="285" w:lineRule="auto"/>
              <w:ind w:left="119" w:right="133" w:firstLine="360"/>
              <w:rPr>
                <w:rFonts w:hint="default" w:ascii="宋体" w:hAnsi="宋体" w:eastAsia="宋体" w:cs="宋体"/>
                <w:spacing w:val="3"/>
                <w:sz w:val="18"/>
                <w:szCs w:val="18"/>
                <w:lang w:val="en-US" w:eastAsia="zh-CN"/>
              </w:rPr>
            </w:pPr>
            <w:r>
              <w:rPr>
                <w:rFonts w:hint="eastAsia" w:ascii="宋体" w:hAnsi="宋体" w:eastAsia="宋体" w:cs="宋体"/>
                <w:color w:val="FF0000"/>
                <w:spacing w:val="3"/>
                <w:sz w:val="18"/>
                <w:szCs w:val="18"/>
                <w:lang w:val="en-US" w:eastAsia="zh-CN"/>
              </w:rPr>
              <w:t>7、苜蓿草检测结果应无农药残留，如检测出农药残留，拒收处置。</w:t>
            </w:r>
          </w:p>
        </w:tc>
      </w:tr>
    </w:tbl>
    <w:p w14:paraId="3C0024D1">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77F0182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28289DAE">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0A5A9E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72368A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60E8C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3D3200D3">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A9D5221"/>
    <w:rsid w:val="1CC45546"/>
    <w:rsid w:val="1DCC22E0"/>
    <w:rsid w:val="1F135B57"/>
    <w:rsid w:val="20C560FB"/>
    <w:rsid w:val="22887589"/>
    <w:rsid w:val="24A019E5"/>
    <w:rsid w:val="279E76F8"/>
    <w:rsid w:val="2A441B0B"/>
    <w:rsid w:val="311227D0"/>
    <w:rsid w:val="3434782F"/>
    <w:rsid w:val="385C0B47"/>
    <w:rsid w:val="393E0E13"/>
    <w:rsid w:val="3E746B53"/>
    <w:rsid w:val="40081B38"/>
    <w:rsid w:val="40C655EA"/>
    <w:rsid w:val="43881600"/>
    <w:rsid w:val="4445400D"/>
    <w:rsid w:val="458C28C6"/>
    <w:rsid w:val="47D91028"/>
    <w:rsid w:val="4E824922"/>
    <w:rsid w:val="4E864704"/>
    <w:rsid w:val="4F2160EF"/>
    <w:rsid w:val="53252A3D"/>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1485</Words>
  <Characters>1643</Characters>
  <TotalTime>0</TotalTime>
  <ScaleCrop>false</ScaleCrop>
  <LinksUpToDate>false</LinksUpToDate>
  <CharactersWithSpaces>2203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2025-07-03T01:50:23Z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