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bookmarkStart w:id="0" w:name="_GoBack"/>
      <w:bookmarkEnd w:id="0"/>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DLMY-CG-PGZ-20250623</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甘肃德联牧业有限公司600吨苹果渣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，甘肃德联牧业有限公司600吨苹果渣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D9E47D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 w:hAnsi="仿宋" w:eastAsia="仿宋" w:cs="仿宋"/>
          <w:b/>
          <w:bCs/>
          <w:sz w:val="24"/>
          <w:szCs w:val="24"/>
          <w:lang w:val="en-US" w:eastAsia="zh-CN"/>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AC3BB"/>
    <w:multiLevelType w:val="singleLevel"/>
    <w:tmpl w:val="C4AAC3BB"/>
    <w:lvl w:ilvl="0" w:tentative="0">
      <w:start w:val="1"/>
      <w:numFmt w:val="bullet"/>
      <w:lvlText w:val=""/>
      <w:lvlJc w:val="left"/>
      <w:pPr>
        <w:ind w:left="420" w:hanging="420"/>
      </w:pPr>
      <w:rPr>
        <w:rFonts w:hint="default" w:ascii="Wingdings" w:hAnsi="Wingdings"/>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BD82070"/>
    <w:rsid w:val="0D851590"/>
    <w:rsid w:val="0E7E266D"/>
    <w:rsid w:val="0F201549"/>
    <w:rsid w:val="131A3B1D"/>
    <w:rsid w:val="14987876"/>
    <w:rsid w:val="157E728A"/>
    <w:rsid w:val="178E0D13"/>
    <w:rsid w:val="1DBB53CD"/>
    <w:rsid w:val="1F8354AA"/>
    <w:rsid w:val="1FF25939"/>
    <w:rsid w:val="201E3CCF"/>
    <w:rsid w:val="20C560FB"/>
    <w:rsid w:val="22887589"/>
    <w:rsid w:val="24445566"/>
    <w:rsid w:val="25F8392C"/>
    <w:rsid w:val="28A85D62"/>
    <w:rsid w:val="2CA00FE0"/>
    <w:rsid w:val="33213025"/>
    <w:rsid w:val="33A04957"/>
    <w:rsid w:val="34F647CC"/>
    <w:rsid w:val="34FE59A0"/>
    <w:rsid w:val="385C0B47"/>
    <w:rsid w:val="3C3C498E"/>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6226FF5"/>
    <w:rsid w:val="59270DD1"/>
    <w:rsid w:val="5C286806"/>
    <w:rsid w:val="5E130032"/>
    <w:rsid w:val="5F597FFA"/>
    <w:rsid w:val="5F85000E"/>
    <w:rsid w:val="62E934B2"/>
    <w:rsid w:val="631725C7"/>
    <w:rsid w:val="642D4379"/>
    <w:rsid w:val="65F10D1E"/>
    <w:rsid w:val="664C1888"/>
    <w:rsid w:val="67C731CF"/>
    <w:rsid w:val="6D491A2B"/>
    <w:rsid w:val="6D782F21"/>
    <w:rsid w:val="6EB40A79"/>
    <w:rsid w:val="707B5D4B"/>
    <w:rsid w:val="707C0A32"/>
    <w:rsid w:val="72951726"/>
    <w:rsid w:val="72D8479F"/>
    <w:rsid w:val="72FC15DE"/>
    <w:rsid w:val="74580A68"/>
    <w:rsid w:val="74CC105E"/>
    <w:rsid w:val="76C014C1"/>
    <w:rsid w:val="772E2EBF"/>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134</Words>
  <Characters>165</Characters>
  <TotalTime>32</TotalTime>
  <ScaleCrop>false</ScaleCrop>
  <LinksUpToDate>false</LinksUpToDate>
  <CharactersWithSpaces>191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2025-06-18T08:19:44Z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2052-12.1.0.21171</vt:lpwstr>
  </property>
  <property fmtid="{D5CDD505-2E9C-101B-9397-08002B2CF9AE}" pid="5" name="ICV">
    <vt:lpwstr>75D21B6818D8416C96CAC03122109C09_13</vt:lpwstr>
  </property>
  <property fmtid="{D5CDD505-2E9C-101B-9397-08002B2CF9AE}" pid="6" name="KSOTemplateDocerSaveRecord">
    <vt:lpwstr>eyJoZGlkIjoiZjZkZDY3NjY4ZDQ1NTg2NWE5MTQ5MTE1OTIzNmY4MmIiLCJ1c2VySWQiOiIyNDQ5MDE3MzQifQ==</vt:lpwstr>
  </property>
</Properties>
</file>