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SKY-CG-FP-20250519</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236F8215">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6DC910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val="0"/>
          <w:bCs w:val="0"/>
          <w:sz w:val="24"/>
          <w:szCs w:val="24"/>
        </w:rPr>
        <w:t>包装、运输和储存符合 NY/T 119-1989中的要求。</w:t>
      </w:r>
      <w:bookmarkStart w:id="0" w:name="_GoBack"/>
      <w:bookmarkEnd w:id="0"/>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03009E8"/>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8F911DD"/>
    <w:rsid w:val="79827AC7"/>
    <w:rsid w:val="7AF73267"/>
    <w:rsid w:val="7E574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2090</Words>
  <Characters>2327</Characters>
  <TotalTime>1</TotalTime>
  <ScaleCrop>false</ScaleCrop>
  <LinksUpToDate>false</LinksUpToDate>
  <CharactersWithSpaces>3346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2025-05-10T02:12:54Z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