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bookmarkStart w:id="0" w:name="_GoBack"/>
      <w:bookmarkEnd w:id="0"/>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10BB1C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LQMY-CG-SDCP-20250519</w:t>
      </w:r>
    </w:p>
    <w:p w14:paraId="7D521152">
      <w:pPr>
        <w:spacing w:before="234" w:line="368" w:lineRule="auto"/>
        <w:ind w:left="1182" w:leftChars="563" w:right="1070" w:firstLine="902" w:firstLineChars="279"/>
        <w:jc w:val="both"/>
        <w:rPr>
          <w:rFonts w:hint="eastAsia" w:ascii="仿宋" w:hAnsi="仿宋" w:eastAsia="仿宋" w:cs="仿宋"/>
          <w:b/>
          <w:bCs/>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b/>
          <w:bCs/>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甘肃陇黔牧业有限公司</w:t>
      </w:r>
    </w:p>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5E42EDC">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0C25B19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6446E5E">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甘肃陇黔牧业有限公司</w:t>
            </w:r>
            <w:r>
              <w:rPr>
                <w:rFonts w:hint="eastAsia" w:ascii="仿宋" w:hAnsi="仿宋" w:eastAsia="仿宋" w:cs="仿宋"/>
                <w:spacing w:val="-2"/>
                <w:position w:val="17"/>
                <w:sz w:val="24"/>
                <w:szCs w:val="24"/>
                <w:lang w:val="en-US" w:eastAsia="zh-CN"/>
              </w:rPr>
              <w:t>350吨双低菜粕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，甘肃陇黔牧业有限公司350吨</w:t>
            </w:r>
            <w:r>
              <w:rPr>
                <w:rFonts w:hint="eastAsia" w:ascii="仿宋" w:hAnsi="仿宋" w:eastAsia="仿宋" w:cs="仿宋"/>
                <w:sz w:val="24"/>
                <w:szCs w:val="24"/>
                <w:vertAlign w:val="baseline"/>
                <w:lang w:val="en-US" w:eastAsia="zh-CN"/>
              </w:rPr>
              <w:t>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4CD6297">
            <w:pPr>
              <w:widowControl w:val="0"/>
              <w:spacing w:before="305" w:line="212" w:lineRule="auto"/>
              <w:ind w:firstLine="240" w:firstLineChars="100"/>
              <w:jc w:val="center"/>
              <w:rPr>
                <w:rFonts w:hint="default" w:ascii="仿宋" w:hAnsi="仿宋" w:eastAsia="仿宋" w:cs="仿宋"/>
                <w:sz w:val="24"/>
                <w:szCs w:val="24"/>
                <w:vertAlign w:val="baseline"/>
                <w:lang w:val="en-US"/>
              </w:rPr>
            </w:pPr>
            <w:r>
              <w:rPr>
                <w:rFonts w:hint="default" w:ascii="仿宋" w:hAnsi="仿宋" w:eastAsia="仿宋" w:cs="仿宋"/>
                <w:sz w:val="24"/>
                <w:szCs w:val="24"/>
                <w:vertAlign w:val="baseline"/>
                <w:lang w:val="en-US" w:eastAsia="zh-CN"/>
              </w:rPr>
              <w:t>截止时间：2025年5月19日14</w:t>
            </w:r>
            <w:r>
              <w:rPr>
                <w:rFonts w:hint="default" w:ascii="仿宋" w:hAnsi="仿宋" w:eastAsia="仿宋" w:cs="仿宋"/>
                <w:sz w:val="24"/>
                <w:szCs w:val="24"/>
                <w:vertAlign w:val="baseline"/>
                <w:lang w:val="en-US" w:eastAsia="zh-CN"/>
              </w:rPr>
              <w:fldChar w:fldCharType="begin"/>
            </w:r>
            <w:r>
              <w:rPr>
                <w:rFonts w:hint="default" w:ascii="仿宋" w:hAnsi="仿宋" w:eastAsia="仿宋" w:cs="仿宋"/>
                <w:sz w:val="24"/>
                <w:szCs w:val="24"/>
                <w:vertAlign w:val="baseline"/>
                <w:lang w:val="en-US" w:eastAsia="zh-CN"/>
              </w:rPr>
              <w:instrText xml:space="preserve"> HYPERLINK "mailto:时之前将投标文件加盖公章加密后发送至邮箱gansu_qjmy_ts@163.com；" </w:instrText>
            </w:r>
            <w:r>
              <w:rPr>
                <w:rFonts w:hint="default" w:ascii="仿宋" w:hAnsi="仿宋" w:eastAsia="仿宋" w:cs="仿宋"/>
                <w:sz w:val="24"/>
                <w:szCs w:val="24"/>
                <w:vertAlign w:val="baseline"/>
                <w:lang w:val="en-US" w:eastAsia="zh-CN"/>
              </w:rPr>
              <w:fldChar w:fldCharType="separate"/>
            </w:r>
            <w:r>
              <w:rPr>
                <w:rFonts w:hint="default" w:ascii="仿宋" w:hAnsi="仿宋" w:eastAsia="仿宋" w:cs="仿宋"/>
                <w:sz w:val="24"/>
                <w:szCs w:val="24"/>
                <w:vertAlign w:val="baseline"/>
                <w:lang w:val="en-US" w:eastAsia="zh-CN"/>
              </w:rPr>
              <w:t>时</w:t>
            </w:r>
            <w:r>
              <w:rPr>
                <w:rFonts w:hint="default" w:ascii="仿宋" w:hAnsi="仿宋" w:eastAsia="仿宋" w:cs="仿宋"/>
                <w:sz w:val="24"/>
                <w:szCs w:val="24"/>
                <w:vertAlign w:val="baseline"/>
                <w:lang w:val="en-US" w:eastAsia="zh-CN"/>
              </w:rPr>
              <w:fldChar w:fldCharType="end"/>
            </w:r>
            <w:r>
              <w:rPr>
                <w:rFonts w:hint="default" w:ascii="仿宋" w:hAnsi="仿宋" w:eastAsia="仿宋" w:cs="仿宋"/>
                <w:sz w:val="24"/>
                <w:szCs w:val="24"/>
                <w:vertAlign w:val="baseline"/>
                <w:lang w:val="en-US" w:eastAsia="zh-CN"/>
              </w:rPr>
              <w:fldChar w:fldCharType="begin"/>
            </w:r>
            <w:r>
              <w:rPr>
                <w:rFonts w:hint="default" w:ascii="仿宋" w:hAnsi="仿宋" w:eastAsia="仿宋" w:cs="仿宋"/>
                <w:sz w:val="24"/>
                <w:szCs w:val="24"/>
                <w:vertAlign w:val="baseline"/>
                <w:lang w:val="en-US" w:eastAsia="zh-CN"/>
              </w:rPr>
              <w:instrText xml:space="preserve"> HYPERLINK "mailto:时之前将投标文件加盖公章加密后发送至邮箱gansu_qjmy_ts@163.com" </w:instrText>
            </w:r>
            <w:r>
              <w:rPr>
                <w:rFonts w:hint="default" w:ascii="仿宋" w:hAnsi="仿宋" w:eastAsia="仿宋" w:cs="仿宋"/>
                <w:sz w:val="24"/>
                <w:szCs w:val="24"/>
                <w:vertAlign w:val="baseline"/>
                <w:lang w:val="en-US" w:eastAsia="zh-CN"/>
              </w:rPr>
              <w:fldChar w:fldCharType="separate"/>
            </w:r>
            <w:r>
              <w:rPr>
                <w:rFonts w:hint="default" w:ascii="仿宋" w:hAnsi="仿宋" w:eastAsia="仿宋" w:cs="仿宋"/>
                <w:sz w:val="24"/>
                <w:szCs w:val="24"/>
                <w:vertAlign w:val="baseline"/>
                <w:lang w:val="en-US" w:eastAsia="zh-CN"/>
              </w:rPr>
              <w:t>之前将投标文件加盖公章后上传至招投标系统。招投标系统地址：http://bidding-customer.erm.qjmyjt.com</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 xml:space="preserve">     </w:t>
            </w:r>
            <w:r>
              <w:rPr>
                <w:rFonts w:hint="default" w:ascii="仿宋" w:hAnsi="仿宋" w:eastAsia="仿宋" w:cs="仿宋"/>
                <w:sz w:val="24"/>
                <w:szCs w:val="24"/>
                <w:vertAlign w:val="baseline"/>
                <w:lang w:val="en-US" w:eastAsia="zh-CN"/>
              </w:rPr>
              <w:fldChar w:fldCharType="end"/>
            </w:r>
            <w:r>
              <w:rPr>
                <w:rFonts w:hint="default" w:ascii="仿宋" w:hAnsi="仿宋" w:eastAsia="仿宋" w:cs="仿宋"/>
                <w:sz w:val="24"/>
                <w:szCs w:val="24"/>
                <w:vertAlign w:val="baseline"/>
                <w:lang w:val="en-US" w:eastAsia="zh-CN"/>
              </w:rPr>
              <w:t xml:space="preserve">                         投标文件命名方式：投标单位名称+项目名称+时间</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637E5BF">
      <w:pPr>
        <w:spacing w:line="235" w:lineRule="exact"/>
      </w:pPr>
    </w:p>
    <w:p w14:paraId="5E54465C">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A98367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456E9F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6A13F4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59B3A783">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07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597D51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061D58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705C27B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3D8998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0FA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DA262A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E1CAFC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2ECF7D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B5BD9C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7A4A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restart"/>
            <w:noWrap w:val="0"/>
            <w:vAlign w:val="center"/>
          </w:tcPr>
          <w:p w14:paraId="25A55B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22EBEB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4CD394A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6F3D07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5D6B3FF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E8E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continue"/>
            <w:noWrap w:val="0"/>
            <w:vAlign w:val="center"/>
          </w:tcPr>
          <w:p w14:paraId="363B377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3C6771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36E54B2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F4629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36F6D0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AB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7349B58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5706014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7D13F44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112B47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7532D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78C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CC3EC5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76EF5EA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45410D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6883D3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1151F6E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B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6F40039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8DC54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72B65F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663648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63BF8AE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350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EE86A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326EE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69F9872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1265E48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25189A9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0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ED618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955DC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3BEBAA5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5060B11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607290C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5B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7F10D54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C934E2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85778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4DBB94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62EABB85">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44A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3F9A66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0CC7AC5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54D179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8D8F6E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62CC34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20C71FD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4B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7B589AB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623A77E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875339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049749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71DFE6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5A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1B0A0D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393F0CD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2EFF1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101DF4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7AD6EF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357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restart"/>
            <w:noWrap w:val="0"/>
            <w:vAlign w:val="center"/>
          </w:tcPr>
          <w:p w14:paraId="4F8C46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41E1C1F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05CB11B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5DC868F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7D5982D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E4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7B2190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B884EE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158D9BF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80B7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447DF8B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71F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C287A1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19ABCD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7C1C2CA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286833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0A0658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04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0535A1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661FA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40EFAB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0BB5943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18CA752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A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9CC754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527DB70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223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04E35C71">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77C3722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378F532F">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6412D3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5DD9AC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1EE8EA6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683176D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275041F0">
      <w:pPr>
        <w:pStyle w:val="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5A6C48E0">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D489EC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B21B982">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88B6784">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058684F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F62CF74">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CB2F76">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E755953">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42D81800">
      <w:pPr>
        <w:spacing w:line="317" w:lineRule="auto"/>
        <w:rPr>
          <w:rFonts w:ascii="Arial"/>
          <w:sz w:val="21"/>
        </w:rPr>
      </w:pPr>
    </w:p>
    <w:p w14:paraId="09D26C34">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987B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38A8EB">
            <w:pPr>
              <w:spacing w:line="321" w:lineRule="auto"/>
              <w:rPr>
                <w:rFonts w:ascii="Arial"/>
                <w:sz w:val="21"/>
              </w:rPr>
            </w:pPr>
          </w:p>
          <w:p w14:paraId="6C26E4E8">
            <w:pPr>
              <w:spacing w:line="321" w:lineRule="auto"/>
              <w:rPr>
                <w:rFonts w:ascii="Arial"/>
                <w:sz w:val="21"/>
              </w:rPr>
            </w:pPr>
          </w:p>
          <w:p w14:paraId="3019BA3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5EB93402">
            <w:pPr>
              <w:rPr>
                <w:rFonts w:ascii="Arial"/>
                <w:sz w:val="21"/>
              </w:rPr>
            </w:pPr>
          </w:p>
        </w:tc>
      </w:tr>
      <w:tr w14:paraId="203F6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10B4FAD">
            <w:pPr>
              <w:spacing w:line="397" w:lineRule="auto"/>
              <w:rPr>
                <w:rFonts w:ascii="Arial"/>
                <w:sz w:val="21"/>
              </w:rPr>
            </w:pPr>
          </w:p>
          <w:p w14:paraId="3458DD8F">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092405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7279092">
            <w:pPr>
              <w:rPr>
                <w:rFonts w:ascii="Arial"/>
                <w:sz w:val="21"/>
              </w:rPr>
            </w:pPr>
          </w:p>
        </w:tc>
      </w:tr>
      <w:tr w14:paraId="5187F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7D88BCC">
            <w:pPr>
              <w:spacing w:line="417" w:lineRule="auto"/>
              <w:rPr>
                <w:rFonts w:ascii="Arial"/>
                <w:sz w:val="21"/>
              </w:rPr>
            </w:pPr>
          </w:p>
          <w:p w14:paraId="2122D95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1F8670D7">
            <w:pPr>
              <w:rPr>
                <w:rFonts w:ascii="Arial"/>
                <w:sz w:val="21"/>
              </w:rPr>
            </w:pPr>
          </w:p>
        </w:tc>
      </w:tr>
      <w:tr w14:paraId="14F22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3D67841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63E5F4E"/>
          <w:p w14:paraId="4235F90F">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B0BA63C">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031406F6">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407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8E36ABF">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F60D79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FCC22A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422F48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96662A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F4F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1F3B037">
            <w:pPr>
              <w:rPr>
                <w:rFonts w:ascii="Arial"/>
                <w:sz w:val="21"/>
              </w:rPr>
            </w:pPr>
          </w:p>
        </w:tc>
        <w:tc>
          <w:tcPr>
            <w:tcW w:w="1623" w:type="dxa"/>
            <w:vAlign w:val="top"/>
          </w:tcPr>
          <w:p w14:paraId="136DD57A">
            <w:pPr>
              <w:rPr>
                <w:rFonts w:ascii="Arial"/>
                <w:sz w:val="21"/>
              </w:rPr>
            </w:pPr>
          </w:p>
        </w:tc>
        <w:tc>
          <w:tcPr>
            <w:tcW w:w="1621" w:type="dxa"/>
            <w:vAlign w:val="top"/>
          </w:tcPr>
          <w:p w14:paraId="1E7AA5F2">
            <w:pPr>
              <w:rPr>
                <w:rFonts w:ascii="Arial"/>
                <w:sz w:val="21"/>
              </w:rPr>
            </w:pPr>
          </w:p>
        </w:tc>
        <w:tc>
          <w:tcPr>
            <w:tcW w:w="1932" w:type="dxa"/>
            <w:vAlign w:val="top"/>
          </w:tcPr>
          <w:p w14:paraId="1D2A161C">
            <w:pPr>
              <w:rPr>
                <w:rFonts w:ascii="Arial"/>
                <w:sz w:val="21"/>
              </w:rPr>
            </w:pPr>
          </w:p>
        </w:tc>
        <w:tc>
          <w:tcPr>
            <w:tcW w:w="1363" w:type="dxa"/>
            <w:vAlign w:val="top"/>
          </w:tcPr>
          <w:p w14:paraId="2EFE317B">
            <w:pPr>
              <w:rPr>
                <w:rFonts w:ascii="Arial"/>
                <w:sz w:val="21"/>
              </w:rPr>
            </w:pPr>
          </w:p>
        </w:tc>
      </w:tr>
      <w:tr w14:paraId="5BC7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9F9CCAA">
            <w:pPr>
              <w:rPr>
                <w:rFonts w:ascii="Arial"/>
                <w:sz w:val="21"/>
              </w:rPr>
            </w:pPr>
          </w:p>
        </w:tc>
        <w:tc>
          <w:tcPr>
            <w:tcW w:w="1623" w:type="dxa"/>
            <w:vAlign w:val="top"/>
          </w:tcPr>
          <w:p w14:paraId="2DCCDCEA">
            <w:pPr>
              <w:rPr>
                <w:rFonts w:ascii="Arial"/>
                <w:sz w:val="21"/>
              </w:rPr>
            </w:pPr>
          </w:p>
        </w:tc>
        <w:tc>
          <w:tcPr>
            <w:tcW w:w="1621" w:type="dxa"/>
            <w:vAlign w:val="top"/>
          </w:tcPr>
          <w:p w14:paraId="79D8C55D">
            <w:pPr>
              <w:rPr>
                <w:rFonts w:ascii="Arial"/>
                <w:sz w:val="21"/>
              </w:rPr>
            </w:pPr>
          </w:p>
        </w:tc>
        <w:tc>
          <w:tcPr>
            <w:tcW w:w="1932" w:type="dxa"/>
            <w:vAlign w:val="top"/>
          </w:tcPr>
          <w:p w14:paraId="097DEF0A">
            <w:pPr>
              <w:rPr>
                <w:rFonts w:ascii="Arial"/>
                <w:sz w:val="21"/>
              </w:rPr>
            </w:pPr>
          </w:p>
        </w:tc>
        <w:tc>
          <w:tcPr>
            <w:tcW w:w="1363" w:type="dxa"/>
            <w:vAlign w:val="top"/>
          </w:tcPr>
          <w:p w14:paraId="2888FCD4">
            <w:pPr>
              <w:rPr>
                <w:rFonts w:ascii="Arial"/>
                <w:sz w:val="21"/>
              </w:rPr>
            </w:pPr>
          </w:p>
        </w:tc>
      </w:tr>
      <w:tr w14:paraId="0273C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4475B6D">
            <w:pPr>
              <w:rPr>
                <w:rFonts w:ascii="Arial"/>
                <w:sz w:val="21"/>
              </w:rPr>
            </w:pPr>
          </w:p>
        </w:tc>
        <w:tc>
          <w:tcPr>
            <w:tcW w:w="1623" w:type="dxa"/>
            <w:vAlign w:val="top"/>
          </w:tcPr>
          <w:p w14:paraId="167770BE">
            <w:pPr>
              <w:rPr>
                <w:rFonts w:ascii="Arial"/>
                <w:sz w:val="21"/>
              </w:rPr>
            </w:pPr>
          </w:p>
        </w:tc>
        <w:tc>
          <w:tcPr>
            <w:tcW w:w="1621" w:type="dxa"/>
            <w:vAlign w:val="top"/>
          </w:tcPr>
          <w:p w14:paraId="7748A544">
            <w:pPr>
              <w:rPr>
                <w:rFonts w:ascii="Arial"/>
                <w:sz w:val="21"/>
              </w:rPr>
            </w:pPr>
          </w:p>
        </w:tc>
        <w:tc>
          <w:tcPr>
            <w:tcW w:w="1932" w:type="dxa"/>
            <w:vAlign w:val="top"/>
          </w:tcPr>
          <w:p w14:paraId="62D49751">
            <w:pPr>
              <w:rPr>
                <w:rFonts w:ascii="Arial"/>
                <w:sz w:val="21"/>
              </w:rPr>
            </w:pPr>
          </w:p>
        </w:tc>
        <w:tc>
          <w:tcPr>
            <w:tcW w:w="1363" w:type="dxa"/>
            <w:vAlign w:val="top"/>
          </w:tcPr>
          <w:p w14:paraId="06EF62CA">
            <w:pPr>
              <w:rPr>
                <w:rFonts w:ascii="Arial"/>
                <w:sz w:val="21"/>
              </w:rPr>
            </w:pPr>
          </w:p>
        </w:tc>
      </w:tr>
      <w:tr w14:paraId="0C567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B5F1D6">
            <w:pPr>
              <w:rPr>
                <w:rFonts w:ascii="Arial"/>
                <w:sz w:val="21"/>
              </w:rPr>
            </w:pPr>
          </w:p>
        </w:tc>
        <w:tc>
          <w:tcPr>
            <w:tcW w:w="1623" w:type="dxa"/>
            <w:vAlign w:val="top"/>
          </w:tcPr>
          <w:p w14:paraId="1148893D">
            <w:pPr>
              <w:rPr>
                <w:rFonts w:ascii="Arial"/>
                <w:sz w:val="21"/>
              </w:rPr>
            </w:pPr>
          </w:p>
        </w:tc>
        <w:tc>
          <w:tcPr>
            <w:tcW w:w="1621" w:type="dxa"/>
            <w:vAlign w:val="top"/>
          </w:tcPr>
          <w:p w14:paraId="05660448">
            <w:pPr>
              <w:rPr>
                <w:rFonts w:ascii="Arial"/>
                <w:sz w:val="21"/>
              </w:rPr>
            </w:pPr>
          </w:p>
        </w:tc>
        <w:tc>
          <w:tcPr>
            <w:tcW w:w="1932" w:type="dxa"/>
            <w:vAlign w:val="top"/>
          </w:tcPr>
          <w:p w14:paraId="08FB5F50">
            <w:pPr>
              <w:rPr>
                <w:rFonts w:ascii="Arial"/>
                <w:sz w:val="21"/>
              </w:rPr>
            </w:pPr>
          </w:p>
        </w:tc>
        <w:tc>
          <w:tcPr>
            <w:tcW w:w="1363" w:type="dxa"/>
            <w:vAlign w:val="top"/>
          </w:tcPr>
          <w:p w14:paraId="2E1D82CC">
            <w:pPr>
              <w:rPr>
                <w:rFonts w:ascii="Arial"/>
                <w:sz w:val="21"/>
              </w:rPr>
            </w:pPr>
          </w:p>
        </w:tc>
      </w:tr>
      <w:tr w14:paraId="55968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53E05394">
            <w:pPr>
              <w:rPr>
                <w:rFonts w:ascii="Arial"/>
                <w:sz w:val="21"/>
              </w:rPr>
            </w:pPr>
          </w:p>
        </w:tc>
        <w:tc>
          <w:tcPr>
            <w:tcW w:w="1623" w:type="dxa"/>
            <w:vAlign w:val="top"/>
          </w:tcPr>
          <w:p w14:paraId="43AC6700">
            <w:pPr>
              <w:rPr>
                <w:rFonts w:ascii="Arial"/>
                <w:sz w:val="21"/>
              </w:rPr>
            </w:pPr>
          </w:p>
        </w:tc>
        <w:tc>
          <w:tcPr>
            <w:tcW w:w="1621" w:type="dxa"/>
            <w:vAlign w:val="top"/>
          </w:tcPr>
          <w:p w14:paraId="5FA33B90">
            <w:pPr>
              <w:rPr>
                <w:rFonts w:ascii="Arial"/>
                <w:sz w:val="21"/>
              </w:rPr>
            </w:pPr>
          </w:p>
        </w:tc>
        <w:tc>
          <w:tcPr>
            <w:tcW w:w="1932" w:type="dxa"/>
            <w:vAlign w:val="top"/>
          </w:tcPr>
          <w:p w14:paraId="13CC54BA">
            <w:pPr>
              <w:rPr>
                <w:rFonts w:ascii="Arial"/>
                <w:sz w:val="21"/>
              </w:rPr>
            </w:pPr>
          </w:p>
        </w:tc>
        <w:tc>
          <w:tcPr>
            <w:tcW w:w="1363" w:type="dxa"/>
            <w:vAlign w:val="top"/>
          </w:tcPr>
          <w:p w14:paraId="6D8149EC">
            <w:pPr>
              <w:rPr>
                <w:rFonts w:ascii="Arial"/>
                <w:sz w:val="21"/>
              </w:rPr>
            </w:pPr>
          </w:p>
        </w:tc>
      </w:tr>
      <w:tr w14:paraId="65615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9C3062">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46FCD8A3">
            <w:pPr>
              <w:pStyle w:val="2"/>
              <w:rPr>
                <w:rFonts w:hint="default"/>
                <w:lang w:val="en-US" w:eastAsia="zh-CN"/>
              </w:rPr>
            </w:pPr>
            <w:r>
              <w:rPr>
                <w:rFonts w:hint="eastAsia" w:ascii="仿宋" w:hAnsi="仿宋" w:eastAsia="仿宋" w:cs="仿宋"/>
                <w:color w:val="auto"/>
                <w:sz w:val="28"/>
                <w:szCs w:val="28"/>
                <w:highlight w:val="green"/>
                <w:u w:val="none"/>
                <w:lang w:val="en-US" w:eastAsia="zh-CN"/>
              </w:rPr>
              <w:t>双低菜粕按照袋装进行报价</w:t>
            </w:r>
          </w:p>
        </w:tc>
      </w:tr>
    </w:tbl>
    <w:p w14:paraId="5384E598">
      <w:pPr>
        <w:spacing w:line="318" w:lineRule="auto"/>
        <w:rPr>
          <w:rFonts w:ascii="Arial"/>
          <w:sz w:val="21"/>
        </w:rPr>
      </w:pPr>
    </w:p>
    <w:p w14:paraId="3ADA5D0C">
      <w:pPr>
        <w:rPr>
          <w:rFonts w:ascii="Arial"/>
          <w:sz w:val="21"/>
        </w:rPr>
      </w:pPr>
    </w:p>
    <w:p w14:paraId="6A68CAD6">
      <w:pPr>
        <w:spacing w:line="241" w:lineRule="auto"/>
        <w:rPr>
          <w:rFonts w:ascii="Arial"/>
          <w:sz w:val="21"/>
        </w:rPr>
      </w:pPr>
    </w:p>
    <w:p w14:paraId="26A47D69">
      <w:pPr>
        <w:pStyle w:val="2"/>
        <w:rPr>
          <w:rFonts w:ascii="Arial"/>
          <w:sz w:val="21"/>
        </w:rPr>
      </w:pPr>
    </w:p>
    <w:p w14:paraId="4CBA7715">
      <w:pPr>
        <w:pStyle w:val="2"/>
        <w:rPr>
          <w:rFonts w:ascii="Arial"/>
          <w:sz w:val="21"/>
        </w:rPr>
      </w:pPr>
    </w:p>
    <w:p w14:paraId="7A3A74B2">
      <w:pPr>
        <w:pStyle w:val="2"/>
        <w:rPr>
          <w:rFonts w:ascii="Arial"/>
          <w:sz w:val="21"/>
        </w:rPr>
      </w:pPr>
    </w:p>
    <w:p w14:paraId="405A5558">
      <w:pPr>
        <w:pStyle w:val="2"/>
        <w:rPr>
          <w:rFonts w:ascii="Arial"/>
          <w:sz w:val="21"/>
        </w:rPr>
      </w:pPr>
    </w:p>
    <w:p w14:paraId="122A25AC">
      <w:pPr>
        <w:pStyle w:val="2"/>
        <w:rPr>
          <w:rFonts w:ascii="Arial"/>
          <w:sz w:val="21"/>
        </w:rPr>
      </w:pPr>
    </w:p>
    <w:p w14:paraId="268D1F6C">
      <w:pPr>
        <w:pStyle w:val="2"/>
        <w:rPr>
          <w:rFonts w:ascii="Arial"/>
          <w:sz w:val="21"/>
        </w:rPr>
      </w:pPr>
    </w:p>
    <w:p w14:paraId="2A521B60">
      <w:pPr>
        <w:pStyle w:val="2"/>
        <w:rPr>
          <w:rFonts w:ascii="Arial"/>
          <w:sz w:val="21"/>
        </w:rPr>
      </w:pPr>
    </w:p>
    <w:p w14:paraId="4769B6FB">
      <w:pPr>
        <w:pStyle w:val="2"/>
        <w:rPr>
          <w:rFonts w:ascii="Arial"/>
          <w:sz w:val="21"/>
        </w:rPr>
      </w:pPr>
    </w:p>
    <w:p w14:paraId="39E485A8">
      <w:pPr>
        <w:pStyle w:val="2"/>
        <w:rPr>
          <w:rFonts w:ascii="Arial"/>
          <w:sz w:val="21"/>
        </w:rPr>
      </w:pPr>
    </w:p>
    <w:p w14:paraId="253315DE">
      <w:pPr>
        <w:pStyle w:val="2"/>
        <w:rPr>
          <w:rFonts w:ascii="Arial"/>
          <w:sz w:val="21"/>
        </w:rPr>
      </w:pPr>
    </w:p>
    <w:p w14:paraId="211D0E68">
      <w:pPr>
        <w:pStyle w:val="2"/>
        <w:rPr>
          <w:rFonts w:ascii="Arial"/>
          <w:sz w:val="21"/>
        </w:rPr>
      </w:pPr>
    </w:p>
    <w:p w14:paraId="7AC6998B">
      <w:pPr>
        <w:pStyle w:val="2"/>
        <w:rPr>
          <w:rFonts w:ascii="Arial"/>
          <w:sz w:val="21"/>
        </w:rPr>
      </w:pPr>
    </w:p>
    <w:p w14:paraId="354B6D3F">
      <w:pPr>
        <w:pStyle w:val="2"/>
        <w:rPr>
          <w:rFonts w:ascii="Arial"/>
          <w:sz w:val="21"/>
        </w:rPr>
      </w:pPr>
    </w:p>
    <w:p w14:paraId="42855285">
      <w:pPr>
        <w:pStyle w:val="2"/>
        <w:rPr>
          <w:rFonts w:ascii="Arial"/>
          <w:sz w:val="21"/>
        </w:rPr>
      </w:pPr>
    </w:p>
    <w:p w14:paraId="5C175711">
      <w:pPr>
        <w:pStyle w:val="2"/>
        <w:rPr>
          <w:rFonts w:ascii="Arial"/>
          <w:sz w:val="21"/>
        </w:rPr>
      </w:pPr>
    </w:p>
    <w:p w14:paraId="3A175FC0">
      <w:pPr>
        <w:pStyle w:val="2"/>
        <w:rPr>
          <w:rFonts w:ascii="Arial"/>
          <w:sz w:val="21"/>
        </w:rPr>
      </w:pPr>
    </w:p>
    <w:p w14:paraId="115F08AF">
      <w:pPr>
        <w:pStyle w:val="2"/>
        <w:rPr>
          <w:rFonts w:ascii="Arial"/>
          <w:sz w:val="21"/>
        </w:rPr>
      </w:pPr>
    </w:p>
    <w:p w14:paraId="43D709C9">
      <w:pPr>
        <w:pStyle w:val="2"/>
        <w:rPr>
          <w:rFonts w:ascii="Arial"/>
          <w:sz w:val="21"/>
        </w:rPr>
      </w:pPr>
    </w:p>
    <w:p w14:paraId="6EEFA5F5">
      <w:pPr>
        <w:pStyle w:val="2"/>
        <w:rPr>
          <w:rFonts w:ascii="Arial"/>
          <w:sz w:val="21"/>
        </w:rPr>
      </w:pPr>
    </w:p>
    <w:p w14:paraId="759A8EE7">
      <w:pPr>
        <w:pStyle w:val="2"/>
        <w:rPr>
          <w:rFonts w:ascii="Arial"/>
          <w:sz w:val="21"/>
        </w:rPr>
      </w:pPr>
    </w:p>
    <w:p w14:paraId="2E19B7FD">
      <w:pPr>
        <w:pStyle w:val="2"/>
        <w:rPr>
          <w:rFonts w:ascii="Arial"/>
          <w:sz w:val="21"/>
        </w:rPr>
      </w:pPr>
    </w:p>
    <w:p w14:paraId="7271B5A2">
      <w:pPr>
        <w:pStyle w:val="2"/>
        <w:rPr>
          <w:rFonts w:ascii="Arial"/>
          <w:sz w:val="21"/>
        </w:rPr>
      </w:pPr>
    </w:p>
    <w:p w14:paraId="29D8DAA5">
      <w:pPr>
        <w:pStyle w:val="2"/>
        <w:rPr>
          <w:rFonts w:ascii="Arial"/>
          <w:sz w:val="21"/>
        </w:rPr>
      </w:pPr>
    </w:p>
    <w:p w14:paraId="4DE059AA">
      <w:pPr>
        <w:pStyle w:val="2"/>
        <w:rPr>
          <w:rFonts w:ascii="Arial"/>
          <w:sz w:val="21"/>
        </w:rPr>
      </w:pPr>
    </w:p>
    <w:p w14:paraId="557B5E18">
      <w:pPr>
        <w:pStyle w:val="2"/>
        <w:rPr>
          <w:rFonts w:ascii="Arial"/>
          <w:sz w:val="21"/>
        </w:rPr>
      </w:pPr>
    </w:p>
    <w:p w14:paraId="48A80090">
      <w:pPr>
        <w:pStyle w:val="2"/>
        <w:rPr>
          <w:rFonts w:ascii="Arial"/>
          <w:sz w:val="21"/>
        </w:rPr>
      </w:pPr>
    </w:p>
    <w:p w14:paraId="23FF0C8F">
      <w:pPr>
        <w:pStyle w:val="2"/>
        <w:rPr>
          <w:rFonts w:ascii="Arial"/>
          <w:sz w:val="21"/>
        </w:rPr>
      </w:pPr>
    </w:p>
    <w:p w14:paraId="1ED386B2">
      <w:pPr>
        <w:pStyle w:val="2"/>
        <w:rPr>
          <w:rFonts w:ascii="Arial"/>
          <w:sz w:val="21"/>
        </w:rPr>
      </w:pPr>
    </w:p>
    <w:p w14:paraId="54C8EA73">
      <w:pPr>
        <w:pStyle w:val="2"/>
        <w:rPr>
          <w:rFonts w:ascii="Arial"/>
          <w:sz w:val="21"/>
        </w:rPr>
      </w:pPr>
    </w:p>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A2544"/>
    <w:rsid w:val="02327F91"/>
    <w:rsid w:val="04E9260B"/>
    <w:rsid w:val="07180CCA"/>
    <w:rsid w:val="078925D1"/>
    <w:rsid w:val="07E22D5D"/>
    <w:rsid w:val="09657FB7"/>
    <w:rsid w:val="0A61313A"/>
    <w:rsid w:val="0A7B336A"/>
    <w:rsid w:val="0B8B59E9"/>
    <w:rsid w:val="0BD82070"/>
    <w:rsid w:val="0D851590"/>
    <w:rsid w:val="0E7E266D"/>
    <w:rsid w:val="0F4D0067"/>
    <w:rsid w:val="12204520"/>
    <w:rsid w:val="131A3B1D"/>
    <w:rsid w:val="14987876"/>
    <w:rsid w:val="157E728A"/>
    <w:rsid w:val="178E0D13"/>
    <w:rsid w:val="1F8354AA"/>
    <w:rsid w:val="201E3CCF"/>
    <w:rsid w:val="20C560FB"/>
    <w:rsid w:val="22887589"/>
    <w:rsid w:val="24445566"/>
    <w:rsid w:val="25F8392C"/>
    <w:rsid w:val="33A04957"/>
    <w:rsid w:val="385C0B47"/>
    <w:rsid w:val="3E01609F"/>
    <w:rsid w:val="3F09003E"/>
    <w:rsid w:val="40081B38"/>
    <w:rsid w:val="41C02A79"/>
    <w:rsid w:val="4240189B"/>
    <w:rsid w:val="43881600"/>
    <w:rsid w:val="4445400D"/>
    <w:rsid w:val="470019DC"/>
    <w:rsid w:val="4E060AA2"/>
    <w:rsid w:val="4FD96638"/>
    <w:rsid w:val="52CE2EF3"/>
    <w:rsid w:val="53252A3D"/>
    <w:rsid w:val="540F6DC6"/>
    <w:rsid w:val="54EB07F1"/>
    <w:rsid w:val="59270DD1"/>
    <w:rsid w:val="5972668C"/>
    <w:rsid w:val="5C286806"/>
    <w:rsid w:val="5E130032"/>
    <w:rsid w:val="631725C7"/>
    <w:rsid w:val="642D4379"/>
    <w:rsid w:val="67C731CF"/>
    <w:rsid w:val="684E413D"/>
    <w:rsid w:val="6D782F21"/>
    <w:rsid w:val="6EB40A79"/>
    <w:rsid w:val="707B5D4B"/>
    <w:rsid w:val="72785A70"/>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2128</Words>
  <Characters>2372</Characters>
  <TotalTime>2</TotalTime>
  <ScaleCrop>false</ScaleCrop>
  <LinksUpToDate>false</LinksUpToDate>
  <CharactersWithSpaces>3385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2025-05-09T09:38:02Z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