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800吨菜粕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SKY-CG-CP-20250417</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800吨菜粕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800吨菜粕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color w:val="auto"/>
                <w:spacing w:val="-11"/>
                <w:sz w:val="24"/>
                <w:szCs w:val="24"/>
                <w:u w:val="none" w:color="auto"/>
                <w:lang w:val="en-US" w:eastAsia="zh-CN"/>
              </w:rPr>
              <w:t>4</w:t>
            </w:r>
            <w:r>
              <w:rPr>
                <w:rFonts w:ascii="仿宋" w:hAnsi="仿宋" w:eastAsia="仿宋" w:cs="仿宋"/>
                <w:color w:val="auto"/>
                <w:spacing w:val="-11"/>
                <w:sz w:val="24"/>
                <w:szCs w:val="24"/>
                <w:u w:val="none" w:color="auto"/>
              </w:rPr>
              <w:t>月</w:t>
            </w:r>
            <w:r>
              <w:rPr>
                <w:rFonts w:hint="eastAsia" w:ascii="仿宋" w:hAnsi="仿宋" w:eastAsia="仿宋" w:cs="仿宋"/>
                <w:color w:val="auto"/>
                <w:spacing w:val="-11"/>
                <w:sz w:val="24"/>
                <w:szCs w:val="24"/>
                <w:u w:val="none" w:color="auto"/>
                <w:lang w:val="en-US" w:eastAsia="zh-CN"/>
              </w:rPr>
              <w:t>17</w:t>
            </w:r>
            <w:bookmarkStart w:id="0" w:name="_GoBack"/>
            <w:bookmarkEnd w:id="0"/>
            <w:r>
              <w:rPr>
                <w:rFonts w:hint="eastAsia" w:ascii="仿宋" w:hAnsi="仿宋" w:eastAsia="仿宋" w:cs="仿宋"/>
                <w:color w:val="auto"/>
                <w:spacing w:val="-11"/>
                <w:sz w:val="24"/>
                <w:szCs w:val="24"/>
                <w:u w:val="none" w:color="auto"/>
                <w:lang w:val="en-US" w:eastAsia="zh-CN"/>
              </w:rPr>
              <w:t>日</w:t>
            </w:r>
            <w:r>
              <w:rPr>
                <w:rFonts w:ascii="仿宋" w:hAnsi="仿宋" w:eastAsia="仿宋" w:cs="仿宋"/>
                <w:color w:val="auto"/>
                <w:spacing w:val="-60"/>
                <w:sz w:val="24"/>
                <w:szCs w:val="24"/>
                <w:u w:val="none" w:color="auto"/>
              </w:rPr>
              <w:t xml:space="preserve"> </w:t>
            </w:r>
            <w:r>
              <w:rPr>
                <w:rFonts w:hint="eastAsia" w:ascii="仿宋" w:hAnsi="仿宋" w:eastAsia="仿宋" w:cs="仿宋"/>
                <w:color w:val="auto"/>
                <w:spacing w:val="-11"/>
                <w:sz w:val="24"/>
                <w:szCs w:val="24"/>
                <w:u w:val="none" w:color="auto"/>
                <w:lang w:val="en-US" w:eastAsia="zh-CN"/>
              </w:rPr>
              <w:t>14</w:t>
            </w:r>
            <w:r>
              <w:rPr>
                <w:rFonts w:ascii="仿宋" w:hAnsi="仿宋" w:eastAsia="仿宋" w:cs="仿宋"/>
                <w:color w:val="auto"/>
                <w:spacing w:val="-60"/>
                <w:sz w:val="24"/>
                <w:szCs w:val="24"/>
                <w:u w:val="none" w:color="auto"/>
              </w:rPr>
              <w:t xml:space="preserve"> </w:t>
            </w:r>
            <w:r>
              <w:rPr>
                <w:rFonts w:ascii="仿宋" w:hAnsi="仿宋" w:eastAsia="仿宋" w:cs="仿宋"/>
                <w:color w:val="auto"/>
                <w:spacing w:val="-11"/>
                <w:sz w:val="24"/>
                <w:szCs w:val="24"/>
                <w:u w:val="none" w:color="auto"/>
              </w:rPr>
              <w:t>时</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399C81A">
      <w:pPr>
        <w:pStyle w:val="2"/>
        <w:rPr>
          <w:rFonts w:hint="default"/>
          <w:b/>
          <w:bCs/>
          <w:sz w:val="36"/>
          <w:szCs w:val="36"/>
          <w:lang w:val="en-US" w:eastAsia="zh-CN"/>
        </w:rPr>
      </w:pPr>
      <w:r>
        <w:rPr>
          <w:rFonts w:hint="eastAsia"/>
          <w:b/>
          <w:bCs/>
          <w:sz w:val="36"/>
          <w:szCs w:val="36"/>
          <w:lang w:val="en-US" w:eastAsia="zh-CN"/>
        </w:rPr>
        <w:t>菜粕</w:t>
      </w:r>
    </w:p>
    <w:p w14:paraId="3CD30C3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14:paraId="2DD1159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黄色至褐色，呈碎片或粗粉状，色泽新鲜一致，无霉变、结块、掺假、炭化。具有油香味，尝之有苦味，不可有发酵、发霉及异味异臭。</w:t>
      </w:r>
    </w:p>
    <w:p w14:paraId="1F8FACB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4"/>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14:paraId="5456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5" w:hRule="atLeast"/>
        </w:trPr>
        <w:tc>
          <w:tcPr>
            <w:tcW w:w="4955" w:type="dxa"/>
            <w:gridSpan w:val="2"/>
            <w:vMerge w:val="restart"/>
            <w:noWrap w:val="0"/>
            <w:vAlign w:val="top"/>
          </w:tcPr>
          <w:p w14:paraId="2EB364A2">
            <w:pPr>
              <w:pStyle w:val="2"/>
              <w:ind w:firstLine="440" w:firstLineChars="200"/>
              <w:rPr>
                <w:rFonts w:hint="eastAsia" w:ascii="仿宋" w:hAnsi="仿宋" w:eastAsia="仿宋" w:cs="仿宋"/>
                <w:b w:val="0"/>
                <w:bCs w:val="0"/>
                <w:sz w:val="22"/>
                <w:szCs w:val="16"/>
                <w:lang w:val="en-US" w:eastAsia="zh-CN"/>
              </w:rPr>
            </w:pPr>
          </w:p>
          <w:p w14:paraId="0022012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14:paraId="0D74F2B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14:paraId="7712A1EA">
            <w:pPr>
              <w:pStyle w:val="2"/>
              <w:ind w:firstLine="440" w:firstLineChars="200"/>
              <w:rPr>
                <w:rFonts w:hint="eastAsia" w:ascii="仿宋" w:hAnsi="仿宋" w:eastAsia="仿宋" w:cs="仿宋"/>
                <w:b w:val="0"/>
                <w:bCs w:val="0"/>
                <w:sz w:val="22"/>
                <w:szCs w:val="16"/>
                <w:lang w:val="en-US" w:eastAsia="zh-CN"/>
              </w:rPr>
            </w:pPr>
          </w:p>
          <w:p w14:paraId="5EF3CBC7">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14:paraId="3C3A2D89">
            <w:pPr>
              <w:pStyle w:val="2"/>
              <w:ind w:firstLine="440" w:firstLineChars="200"/>
              <w:rPr>
                <w:rFonts w:hint="eastAsia" w:ascii="仿宋" w:hAnsi="仿宋" w:eastAsia="仿宋" w:cs="仿宋"/>
                <w:b w:val="0"/>
                <w:bCs w:val="0"/>
                <w:sz w:val="22"/>
                <w:szCs w:val="16"/>
                <w:lang w:val="en-US" w:eastAsia="zh-CN"/>
              </w:rPr>
            </w:pPr>
          </w:p>
          <w:p w14:paraId="15BACB6F">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2B0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14:paraId="75922747">
            <w:pPr>
              <w:pStyle w:val="2"/>
              <w:ind w:firstLine="440" w:firstLineChars="200"/>
              <w:rPr>
                <w:rFonts w:hint="eastAsia" w:ascii="仿宋" w:hAnsi="仿宋" w:eastAsia="仿宋" w:cs="仿宋"/>
                <w:b w:val="0"/>
                <w:bCs w:val="0"/>
                <w:sz w:val="22"/>
                <w:szCs w:val="16"/>
                <w:lang w:val="en-US" w:eastAsia="zh-CN"/>
              </w:rPr>
            </w:pPr>
          </w:p>
        </w:tc>
        <w:tc>
          <w:tcPr>
            <w:tcW w:w="1102" w:type="dxa"/>
            <w:noWrap w:val="0"/>
            <w:vAlign w:val="top"/>
          </w:tcPr>
          <w:p w14:paraId="11CB90CD">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14:paraId="32F2BCCE">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353" w:type="dxa"/>
            <w:vMerge w:val="continue"/>
            <w:tcBorders>
              <w:top w:val="nil"/>
            </w:tcBorders>
            <w:noWrap w:val="0"/>
            <w:vAlign w:val="top"/>
          </w:tcPr>
          <w:p w14:paraId="71706BDD">
            <w:pPr>
              <w:pStyle w:val="2"/>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14:paraId="6AFD1C1E">
            <w:pPr>
              <w:pStyle w:val="2"/>
              <w:ind w:firstLine="440" w:firstLineChars="200"/>
              <w:rPr>
                <w:rFonts w:hint="eastAsia" w:ascii="仿宋" w:hAnsi="仿宋" w:eastAsia="仿宋" w:cs="仿宋"/>
                <w:b w:val="0"/>
                <w:bCs w:val="0"/>
                <w:sz w:val="22"/>
                <w:szCs w:val="16"/>
                <w:lang w:val="en-US" w:eastAsia="zh-CN"/>
              </w:rPr>
            </w:pPr>
          </w:p>
        </w:tc>
      </w:tr>
      <w:tr w14:paraId="17C1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14:paraId="788D59D3">
            <w:pPr>
              <w:pStyle w:val="2"/>
              <w:ind w:firstLine="440" w:firstLineChars="200"/>
              <w:rPr>
                <w:rFonts w:hint="eastAsia" w:ascii="仿宋" w:hAnsi="仿宋" w:eastAsia="仿宋" w:cs="仿宋"/>
                <w:b w:val="0"/>
                <w:bCs w:val="0"/>
                <w:sz w:val="22"/>
                <w:szCs w:val="16"/>
                <w:lang w:val="en-US" w:eastAsia="zh-CN"/>
              </w:rPr>
            </w:pPr>
          </w:p>
        </w:tc>
        <w:tc>
          <w:tcPr>
            <w:tcW w:w="3912" w:type="dxa"/>
            <w:noWrap w:val="0"/>
            <w:vAlign w:val="top"/>
          </w:tcPr>
          <w:p w14:paraId="3133DBD1">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14:paraId="0E719D8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14:paraId="666FFEC6">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14:paraId="7C89A90C">
            <w:pPr>
              <w:pStyle w:val="2"/>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4"/>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952"/>
        <w:gridCol w:w="1103"/>
        <w:gridCol w:w="1620"/>
        <w:gridCol w:w="1365"/>
        <w:gridCol w:w="1260"/>
      </w:tblGrid>
      <w:tr w14:paraId="478D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14:paraId="50B1A7D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952" w:type="dxa"/>
            <w:noWrap w:val="0"/>
            <w:vAlign w:val="center"/>
          </w:tcPr>
          <w:p w14:paraId="024EB94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23" w:type="dxa"/>
            <w:gridSpan w:val="2"/>
            <w:noWrap w:val="0"/>
            <w:vAlign w:val="center"/>
          </w:tcPr>
          <w:p w14:paraId="1E07830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75B702B">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3985A87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EB2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14:paraId="7ABF9F34">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131AF71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23" w:type="dxa"/>
            <w:gridSpan w:val="2"/>
            <w:noWrap w:val="0"/>
            <w:vAlign w:val="center"/>
          </w:tcPr>
          <w:p w14:paraId="1B8893A9">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5F4D836">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61FCE72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60C4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14:paraId="7483585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952" w:type="dxa"/>
            <w:noWrap w:val="0"/>
            <w:vAlign w:val="center"/>
          </w:tcPr>
          <w:p w14:paraId="378EF9F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23" w:type="dxa"/>
            <w:gridSpan w:val="2"/>
            <w:noWrap w:val="0"/>
            <w:vAlign w:val="center"/>
          </w:tcPr>
          <w:p w14:paraId="06F229C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14:paraId="2CDE9C3A">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14:paraId="2A88394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899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14:paraId="54F8BB9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257A7D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03" w:type="dxa"/>
            <w:noWrap w:val="0"/>
            <w:vAlign w:val="center"/>
          </w:tcPr>
          <w:p w14:paraId="3284F281">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14:paraId="57C657A4">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14:paraId="1606B1FD">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14:paraId="102AEBC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25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3D32AC0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CDA217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23" w:type="dxa"/>
            <w:gridSpan w:val="2"/>
            <w:noWrap w:val="0"/>
            <w:vAlign w:val="center"/>
          </w:tcPr>
          <w:p w14:paraId="3A13640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14:paraId="5854CE5E">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14:paraId="012C43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90B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14:paraId="233D5136">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36E9B0B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23" w:type="dxa"/>
            <w:gridSpan w:val="2"/>
            <w:noWrap w:val="0"/>
            <w:vAlign w:val="center"/>
          </w:tcPr>
          <w:p w14:paraId="625F09BC">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14:paraId="48247385">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14:paraId="6E4FE5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71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14:paraId="1EC73EB9">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2EACA90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23" w:type="dxa"/>
            <w:gridSpan w:val="2"/>
            <w:noWrap w:val="0"/>
            <w:vAlign w:val="center"/>
          </w:tcPr>
          <w:p w14:paraId="0222C9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14:paraId="2CC8C1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14:paraId="07EBAEA5">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A3B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14:paraId="050DC779">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restart"/>
            <w:noWrap w:val="0"/>
            <w:vAlign w:val="center"/>
          </w:tcPr>
          <w:p w14:paraId="7FC8E936">
            <w:pPr>
              <w:pStyle w:val="2"/>
              <w:jc w:val="both"/>
              <w:rPr>
                <w:rFonts w:hint="eastAsia" w:ascii="仿宋" w:hAnsi="仿宋" w:eastAsia="仿宋" w:cs="仿宋"/>
                <w:b w:val="0"/>
                <w:bCs w:val="0"/>
                <w:sz w:val="22"/>
                <w:szCs w:val="16"/>
                <w:lang w:val="en-US" w:eastAsia="zh-CN"/>
              </w:rPr>
            </w:pPr>
          </w:p>
          <w:p w14:paraId="6A3804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23" w:type="dxa"/>
            <w:gridSpan w:val="2"/>
            <w:noWrap w:val="0"/>
            <w:vAlign w:val="center"/>
          </w:tcPr>
          <w:p w14:paraId="4A93F2B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14:paraId="3936DA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14:paraId="30DAE76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AA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14:paraId="150EEAD6">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2C11E87D">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078E58D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14:paraId="6EB4B8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6FC7B2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408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7D4B961A">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3E971EB1">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7922D4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14:paraId="2316439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727E8FE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87D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14:paraId="260D9B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952" w:type="dxa"/>
            <w:noWrap w:val="0"/>
            <w:vAlign w:val="center"/>
          </w:tcPr>
          <w:p w14:paraId="4C0E6E69">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23" w:type="dxa"/>
            <w:gridSpan w:val="2"/>
            <w:noWrap w:val="0"/>
            <w:vAlign w:val="center"/>
          </w:tcPr>
          <w:p w14:paraId="660DEEE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14:paraId="5BED6A4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14:paraId="5AF98E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61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28C05E70">
            <w:pPr>
              <w:pStyle w:val="2"/>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14:paraId="16252AD6">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14:paraId="4068F45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14:paraId="730BA8A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14:paraId="5694525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A36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2B5A77AE">
            <w:pPr>
              <w:pStyle w:val="2"/>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14:paraId="7FFD3D7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5334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14:paraId="455E0A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14:paraId="2ADB34E7">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1、呕吐毒素预警值为 1 mg/kg；</w:t>
            </w:r>
          </w:p>
          <w:p w14:paraId="3427B48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070D893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3、风险指标和卫生指标不合格，拒收处置。</w:t>
            </w:r>
          </w:p>
        </w:tc>
      </w:tr>
    </w:tbl>
    <w:p w14:paraId="63E65DED">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14:paraId="378BAF3C">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14:paraId="708CA928">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14:paraId="26E51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GB/T23736-2009中的要求。</w:t>
      </w:r>
    </w:p>
    <w:p w14:paraId="6501FC5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6EF7499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40C94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BE6EEB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480451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AE50AF7">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9" w:type="default"/>
          <w:footerReference r:id="rId10"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1"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2"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3"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4" w:type="default"/>
          <w:footerReference r:id="rId15"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6"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20C560FB"/>
    <w:rsid w:val="22887589"/>
    <w:rsid w:val="2FE16485"/>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631725C7"/>
    <w:rsid w:val="6414223A"/>
    <w:rsid w:val="68E76B46"/>
    <w:rsid w:val="69EB00FB"/>
    <w:rsid w:val="6C4B06A0"/>
    <w:rsid w:val="6D782F21"/>
    <w:rsid w:val="707B5D4B"/>
    <w:rsid w:val="72D8479F"/>
    <w:rsid w:val="74CC105E"/>
    <w:rsid w:val="763A445E"/>
    <w:rsid w:val="76C014C1"/>
    <w:rsid w:val="773C3348"/>
    <w:rsid w:val="77BC1395"/>
    <w:rsid w:val="78F911DD"/>
    <w:rsid w:val="79827AC7"/>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1688</Words>
  <Characters>1885</Characters>
  <TotalTime>0</TotalTime>
  <ScaleCrop>false</ScaleCrop>
  <LinksUpToDate>false</LinksUpToDate>
  <CharactersWithSpaces>2627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2025-04-14T06:40:02Z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