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条形圆点防滑橡胶垫</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DLMY-CG-XJD-20250408</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r>
        <w:rPr>
          <w:rFonts w:hint="eastAsia" w:eastAsia="宋体"/>
          <w:lang w:val="en-US" w:eastAsia="zh-CN"/>
        </w:rPr>
        <w:t xml:space="preserve"> </w:t>
      </w: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Pr>
        <w:rPr>
          <w:sz w:val="44"/>
          <w:szCs w:val="44"/>
        </w:rPr>
      </w:pPr>
    </w:p>
    <w:p w14:paraId="1A2AC41A">
      <w:pPr>
        <w:numPr>
          <w:ilvl w:val="0"/>
          <w:numId w:val="1"/>
        </w:numP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投标人须知</w:t>
      </w:r>
    </w:p>
    <w:p w14:paraId="265E1291">
      <w:pPr>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44"/>
          <w:szCs w:val="44"/>
          <w:lang w:val="en-US" w:eastAsia="zh-CN"/>
        </w:rPr>
      </w:pPr>
    </w:p>
    <w:p w14:paraId="140418CA">
      <w:pPr>
        <w:numPr>
          <w:ilvl w:val="0"/>
          <w:numId w:val="1"/>
        </w:numPr>
        <w:kinsoku w:val="0"/>
        <w:autoSpaceDE w:val="0"/>
        <w:autoSpaceDN w:val="0"/>
        <w:adjustRightInd w:val="0"/>
        <w:snapToGrid w:val="0"/>
        <w:spacing w:line="240" w:lineRule="auto"/>
        <w:ind w:left="0" w:leftChars="0" w:firstLine="0" w:firstLineChars="0"/>
        <w:jc w:val="left"/>
        <w:textAlignment w:val="baseline"/>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评标标准</w:t>
      </w:r>
    </w:p>
    <w:p w14:paraId="58A2A0D0">
      <w:pPr>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44"/>
          <w:szCs w:val="44"/>
          <w:lang w:val="en-US" w:eastAsia="zh-CN"/>
        </w:rPr>
      </w:pPr>
    </w:p>
    <w:p w14:paraId="29758FFF">
      <w:pPr>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第三章、条形圆点防滑橡胶垫技术要求</w:t>
      </w:r>
    </w:p>
    <w:p w14:paraId="5BEF8C4F">
      <w:pPr>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44"/>
          <w:szCs w:val="44"/>
          <w:lang w:val="en-US" w:eastAsia="zh-CN"/>
        </w:rPr>
      </w:pPr>
    </w:p>
    <w:p w14:paraId="23CE2A8C">
      <w:pPr>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44"/>
          <w:szCs w:val="44"/>
          <w:lang w:val="en-US" w:eastAsia="zh-CN"/>
        </w:r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r>
        <w:rPr>
          <w:rFonts w:hint="eastAsia" w:ascii="仿宋" w:hAnsi="仿宋" w:eastAsia="仿宋" w:cs="仿宋"/>
          <w:sz w:val="44"/>
          <w:szCs w:val="44"/>
          <w:lang w:val="en-US" w:eastAsia="zh-CN"/>
        </w:rPr>
        <w:t>第四章、投标文件格式</w:t>
      </w:r>
    </w:p>
    <w:p w14:paraId="71AA38FE">
      <w:pPr>
        <w:numPr>
          <w:ilvl w:val="0"/>
          <w:numId w:val="0"/>
        </w:numPr>
        <w:spacing w:line="240" w:lineRule="auto"/>
        <w:rPr>
          <w:rFonts w:hint="default" w:ascii="仿宋" w:hAnsi="仿宋" w:eastAsia="仿宋" w:cs="仿宋"/>
          <w:spacing w:val="-8"/>
          <w:sz w:val="36"/>
          <w:szCs w:val="36"/>
          <w:lang w:val="en-US" w:eastAsia="zh-CN"/>
        </w:rPr>
      </w:pP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条形圆点防滑橡胶垫</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合同签订后30天内交货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条形圆点防滑橡胶垫</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8</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w:t>
            </w:r>
            <w:r>
              <w:rPr>
                <w:rStyle w:val="9"/>
                <w:rFonts w:hint="eastAsia" w:ascii="仿宋" w:hAnsi="仿宋" w:eastAsia="仿宋" w:cs="仿宋"/>
                <w:color w:val="auto"/>
                <w:spacing w:val="-11"/>
                <w:sz w:val="24"/>
                <w:szCs w:val="24"/>
                <w:u w:val="none"/>
                <w:lang w:val="en-US" w:eastAsia="zh-CN"/>
              </w:rPr>
              <w:t>30分</w:t>
            </w:r>
            <w:r>
              <w:rPr>
                <w:rStyle w:val="9"/>
                <w:rFonts w:ascii="仿宋" w:hAnsi="仿宋" w:eastAsia="仿宋" w:cs="仿宋"/>
                <w:color w:val="auto"/>
                <w:spacing w:val="-11"/>
                <w:sz w:val="24"/>
                <w:szCs w:val="24"/>
                <w:u w:val="none"/>
              </w:rPr>
              <w:t>之前</w:t>
            </w:r>
            <w:r>
              <w:rPr>
                <w:rStyle w:val="9"/>
                <w:rFonts w:hint="eastAsia" w:ascii="仿宋" w:hAnsi="仿宋" w:eastAsia="仿宋" w:cs="仿宋"/>
                <w:color w:val="auto"/>
                <w:spacing w:val="-11"/>
                <w:sz w:val="24"/>
                <w:szCs w:val="24"/>
                <w:u w:val="none"/>
                <w:lang w:val="en-US" w:eastAsia="zh-CN"/>
              </w:rPr>
              <w:t>将投标文件加盖公章后发送至邮箱gansu_qjmy_ts@163.com</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付款方式</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货到验收安装合格开具发票后30天内付清。</w:t>
            </w:r>
          </w:p>
        </w:tc>
      </w:tr>
    </w:tbl>
    <w:p w14:paraId="372719E4">
      <w:pPr>
        <w:spacing w:line="235" w:lineRule="exact"/>
      </w:pPr>
    </w:p>
    <w:p w14:paraId="33440B43">
      <w:pPr>
        <w:sectPr>
          <w:headerReference r:id="rId9" w:type="default"/>
          <w:footerReference r:id="rId10" w:type="default"/>
          <w:pgSz w:w="11905" w:h="16840"/>
          <w:pgMar w:top="1183" w:right="1667" w:bottom="1041" w:left="1671" w:header="882" w:footer="853" w:gutter="0"/>
          <w:pgNumType w:fmt="numberInDash"/>
          <w:cols w:space="720" w:num="1"/>
        </w:sectPr>
      </w:pPr>
    </w:p>
    <w:p w14:paraId="77E83F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pacing w:val="-4"/>
          <w:sz w:val="48"/>
          <w:szCs w:val="48"/>
          <w:lang w:val="en-US" w:eastAsia="zh-CN"/>
        </w:rPr>
      </w:pPr>
      <w:r>
        <w:rPr>
          <w:rFonts w:hint="eastAsia" w:ascii="仿宋" w:hAnsi="仿宋" w:eastAsia="仿宋" w:cs="仿宋"/>
          <w:b/>
          <w:bCs/>
          <w:spacing w:val="-4"/>
          <w:sz w:val="48"/>
          <w:szCs w:val="48"/>
          <w:lang w:val="en-US" w:eastAsia="zh-CN"/>
        </w:rPr>
        <w:t>第二章评标标准</w:t>
      </w:r>
    </w:p>
    <w:p w14:paraId="63C461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仿宋"/>
          <w:b/>
          <w:bCs/>
          <w:spacing w:val="-4"/>
          <w:sz w:val="48"/>
          <w:szCs w:val="48"/>
          <w:lang w:val="en-US" w:eastAsia="zh-CN"/>
        </w:rPr>
      </w:pPr>
    </w:p>
    <w:p w14:paraId="7D5ABC7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firstLine="544" w:firstLineChars="200"/>
        <w:jc w:val="center"/>
        <w:textAlignment w:val="baseline"/>
        <w:rPr>
          <w:rFonts w:hint="eastAsia" w:ascii="仿宋" w:hAnsi="仿宋" w:eastAsia="仿宋" w:cs="仿宋"/>
          <w:b w:val="0"/>
          <w:bCs w:val="0"/>
          <w:spacing w:val="-4"/>
          <w:sz w:val="28"/>
          <w:szCs w:val="28"/>
          <w:lang w:val="en-US" w:eastAsia="zh-CN"/>
        </w:rPr>
      </w:pPr>
      <w:r>
        <w:rPr>
          <w:rFonts w:hint="eastAsia" w:ascii="仿宋" w:hAnsi="仿宋" w:eastAsia="仿宋" w:cs="仿宋"/>
          <w:b w:val="0"/>
          <w:bCs w:val="0"/>
          <w:spacing w:val="-4"/>
          <w:sz w:val="28"/>
          <w:szCs w:val="28"/>
          <w:lang w:val="en-US" w:eastAsia="zh-CN"/>
        </w:rPr>
        <w:t>本项目评分方式采取综合评分法，评分采用百分制，按总得分从高到低的顺序确定排名次序，得分排名第一的投标人为拟中标供应商。评标总分为100分，其中价格部分占60分，商务部分占40分。</w:t>
      </w:r>
    </w:p>
    <w:p w14:paraId="6BDA2261">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544" w:firstLineChars="200"/>
        <w:jc w:val="both"/>
        <w:textAlignment w:val="baseline"/>
        <w:rPr>
          <w:rFonts w:hint="eastAsia" w:ascii="仿宋" w:hAnsi="仿宋" w:eastAsia="仿宋" w:cs="仿宋"/>
          <w:b w:val="0"/>
          <w:bCs w:val="0"/>
          <w:spacing w:val="-4"/>
          <w:sz w:val="28"/>
          <w:szCs w:val="28"/>
          <w:lang w:val="en-US" w:eastAsia="zh-CN"/>
        </w:rPr>
      </w:pPr>
      <w:r>
        <w:rPr>
          <w:rFonts w:hint="eastAsia" w:ascii="仿宋" w:hAnsi="仿宋" w:eastAsia="仿宋" w:cs="仿宋"/>
          <w:b w:val="0"/>
          <w:bCs w:val="0"/>
          <w:spacing w:val="-4"/>
          <w:sz w:val="28"/>
          <w:szCs w:val="28"/>
          <w:lang w:val="en-US" w:eastAsia="zh-CN"/>
        </w:rPr>
        <w:t>本项目价格部分采用低价优先法计算，第二轮报价为最终报价。即满足招标文件要求的前提下，最低有效投标报价作为评标基准价，其价格分为满分。其他投标人的价格部分统一按照下列公式计算： 投标报价得分=（评标基准价／有效投标报价）×价格权值（60%）×100%，投标报价得分保留2位小数，小数点后第三位“四舍五入”。</w:t>
      </w:r>
    </w:p>
    <w:p w14:paraId="33AD267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544" w:firstLineChars="200"/>
        <w:jc w:val="both"/>
        <w:textAlignment w:val="baseline"/>
        <w:rPr>
          <w:rFonts w:hint="eastAsia" w:ascii="仿宋" w:hAnsi="仿宋" w:eastAsia="仿宋" w:cs="仿宋"/>
          <w:b w:val="0"/>
          <w:bCs w:val="0"/>
          <w:spacing w:val="-4"/>
          <w:sz w:val="28"/>
          <w:szCs w:val="28"/>
          <w:lang w:val="en-US" w:eastAsia="zh-CN"/>
        </w:rPr>
      </w:pPr>
      <w:r>
        <w:rPr>
          <w:rFonts w:hint="eastAsia" w:ascii="仿宋" w:hAnsi="仿宋" w:eastAsia="仿宋" w:cs="仿宋"/>
          <w:b w:val="0"/>
          <w:bCs w:val="0"/>
          <w:spacing w:val="-4"/>
          <w:sz w:val="28"/>
          <w:szCs w:val="28"/>
          <w:lang w:val="en-US" w:eastAsia="zh-CN"/>
        </w:rPr>
        <w:t xml:space="preserve">商务部分以业绩、产品介绍及技术讲解方案等项目进行评分。        </w:t>
      </w:r>
    </w:p>
    <w:p w14:paraId="03AE8E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544" w:firstLineChars="200"/>
        <w:jc w:val="both"/>
        <w:textAlignment w:val="baseline"/>
        <w:rPr>
          <w:rFonts w:hint="eastAsia" w:ascii="仿宋" w:hAnsi="仿宋" w:eastAsia="仿宋" w:cs="仿宋"/>
          <w:b w:val="0"/>
          <w:bCs w:val="0"/>
          <w:spacing w:val="-4"/>
          <w:sz w:val="28"/>
          <w:szCs w:val="28"/>
          <w:lang w:val="en-US" w:eastAsia="zh-CN"/>
        </w:rPr>
      </w:pPr>
      <w:r>
        <w:rPr>
          <w:rFonts w:hint="eastAsia" w:ascii="仿宋" w:hAnsi="仿宋" w:eastAsia="仿宋" w:cs="仿宋"/>
          <w:b w:val="0"/>
          <w:bCs w:val="0"/>
          <w:spacing w:val="-4"/>
          <w:sz w:val="28"/>
          <w:szCs w:val="28"/>
          <w:lang w:val="en-US" w:eastAsia="zh-CN"/>
        </w:rPr>
        <w:t>3.1、 2023年至今，与奶行业企业有过合作得3分；合作3家企业以上得8分；合作5家企业以上得满分；以签订的合同扫描件为准。</w:t>
      </w:r>
    </w:p>
    <w:p w14:paraId="5A2D92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44" w:firstLineChars="200"/>
        <w:jc w:val="both"/>
        <w:textAlignment w:val="baseline"/>
        <w:rPr>
          <w:rFonts w:hint="eastAsia" w:ascii="仿宋" w:hAnsi="仿宋" w:eastAsia="仿宋" w:cs="仿宋"/>
          <w:b w:val="0"/>
          <w:bCs w:val="0"/>
          <w:spacing w:val="-4"/>
          <w:sz w:val="28"/>
          <w:szCs w:val="28"/>
          <w:lang w:val="en-US" w:eastAsia="zh-CN"/>
        </w:rPr>
      </w:pPr>
      <w:r>
        <w:rPr>
          <w:rFonts w:hint="eastAsia" w:ascii="仿宋" w:hAnsi="仿宋" w:eastAsia="仿宋" w:cs="仿宋"/>
          <w:b w:val="0"/>
          <w:bCs w:val="0"/>
          <w:spacing w:val="-4"/>
          <w:sz w:val="28"/>
          <w:szCs w:val="28"/>
          <w:lang w:val="en-US" w:eastAsia="zh-CN"/>
        </w:rPr>
        <w:t>3.2、产品介绍及技术讲解：投标人员对产品介绍、安装及售后服务、技术指标答疑讲解。优（讲解非常清楚，内容了解）：27-30分；良（讲解比较清楚，内容了解）：24-26分；差（讲解不清楚，内容不了解）：0-23分；</w:t>
      </w:r>
    </w:p>
    <w:p w14:paraId="123DE8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44" w:firstLineChars="200"/>
        <w:jc w:val="both"/>
        <w:textAlignment w:val="baseline"/>
        <w:rPr>
          <w:rFonts w:hint="eastAsia" w:ascii="仿宋" w:hAnsi="仿宋" w:eastAsia="仿宋" w:cs="仿宋"/>
          <w:b w:val="0"/>
          <w:bCs w:val="0"/>
          <w:spacing w:val="-4"/>
          <w:sz w:val="28"/>
          <w:szCs w:val="28"/>
          <w:lang w:val="en-US" w:eastAsia="zh-CN"/>
        </w:rPr>
      </w:pPr>
      <w:r>
        <w:rPr>
          <w:rFonts w:hint="eastAsia" w:ascii="仿宋" w:hAnsi="仿宋" w:eastAsia="仿宋" w:cs="仿宋"/>
          <w:b w:val="0"/>
          <w:bCs w:val="0"/>
          <w:spacing w:val="-4"/>
          <w:sz w:val="28"/>
          <w:szCs w:val="28"/>
          <w:lang w:val="en-US" w:eastAsia="zh-CN"/>
        </w:rPr>
        <w:t>3.3、投标文件的规范性和完整性：优（投标文件按照要求编制、排版清爽整洁，文字页码清晰）：8-10分；良（基本按照投标文件要求编制、排版清爽整洁或文字页码清晰）：5-7分；差（投标文件不按要求编制、排版混乱或文字页码模糊）：0-4分。</w:t>
      </w:r>
    </w:p>
    <w:p w14:paraId="29D21D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948" w:firstLineChars="200"/>
        <w:jc w:val="center"/>
        <w:textAlignment w:val="baseline"/>
        <w:rPr>
          <w:rFonts w:hint="eastAsia" w:ascii="仿宋" w:hAnsi="仿宋" w:eastAsia="仿宋" w:cs="仿宋"/>
          <w:b/>
          <w:bCs/>
          <w:spacing w:val="-4"/>
          <w:sz w:val="48"/>
          <w:szCs w:val="48"/>
          <w:lang w:val="en-US" w:eastAsia="zh-CN"/>
        </w:rPr>
      </w:pPr>
    </w:p>
    <w:p w14:paraId="76E793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pacing w:val="-4"/>
          <w:sz w:val="48"/>
          <w:szCs w:val="48"/>
          <w:lang w:val="en-US" w:eastAsia="zh-CN"/>
        </w:rPr>
      </w:pPr>
    </w:p>
    <w:p w14:paraId="525951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pacing w:val="-4"/>
          <w:sz w:val="48"/>
          <w:szCs w:val="48"/>
          <w:lang w:val="en-US" w:eastAsia="zh-CN"/>
        </w:rPr>
      </w:pPr>
    </w:p>
    <w:p w14:paraId="2631BEB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pacing w:val="-4"/>
          <w:sz w:val="48"/>
          <w:szCs w:val="48"/>
          <w:lang w:val="en-US" w:eastAsia="zh-CN"/>
        </w:rPr>
      </w:pPr>
    </w:p>
    <w:p w14:paraId="55B00F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pacing w:val="-4"/>
          <w:sz w:val="48"/>
          <w:szCs w:val="48"/>
          <w:lang w:val="en-US" w:eastAsia="zh-CN"/>
        </w:rPr>
      </w:pPr>
    </w:p>
    <w:p w14:paraId="71EFCD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pacing w:val="-4"/>
          <w:sz w:val="48"/>
          <w:szCs w:val="48"/>
          <w:lang w:val="en-US" w:eastAsia="zh-CN"/>
        </w:rPr>
      </w:pPr>
    </w:p>
    <w:p w14:paraId="0E9F8D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pacing w:val="-4"/>
          <w:sz w:val="48"/>
          <w:szCs w:val="48"/>
          <w:lang w:val="en-US" w:eastAsia="zh-CN"/>
        </w:rPr>
      </w:pPr>
    </w:p>
    <w:p w14:paraId="59415B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spacing w:val="-4"/>
          <w:sz w:val="48"/>
          <w:szCs w:val="48"/>
        </w:rPr>
      </w:pPr>
      <w:r>
        <w:rPr>
          <w:rFonts w:hint="eastAsia" w:ascii="仿宋" w:hAnsi="仿宋" w:eastAsia="仿宋" w:cs="仿宋"/>
          <w:b/>
          <w:bCs/>
          <w:spacing w:val="-4"/>
          <w:sz w:val="48"/>
          <w:szCs w:val="48"/>
          <w:lang w:val="en-US" w:eastAsia="zh-CN"/>
        </w:rPr>
        <w:t xml:space="preserve">第三章 </w:t>
      </w:r>
      <w:r>
        <w:rPr>
          <w:rFonts w:hint="eastAsia" w:ascii="仿宋" w:hAnsi="仿宋" w:eastAsia="仿宋" w:cs="仿宋"/>
          <w:b/>
          <w:bCs/>
          <w:spacing w:val="-4"/>
          <w:sz w:val="48"/>
          <w:szCs w:val="48"/>
          <w:lang w:eastAsia="zh-CN"/>
        </w:rPr>
        <w:t>条形圆点防滑橡胶垫</w:t>
      </w:r>
      <w:r>
        <w:rPr>
          <w:rFonts w:hint="eastAsia" w:ascii="仿宋" w:hAnsi="仿宋" w:eastAsia="仿宋" w:cs="仿宋"/>
          <w:b/>
          <w:bCs/>
          <w:spacing w:val="-4"/>
          <w:sz w:val="48"/>
          <w:szCs w:val="48"/>
        </w:rPr>
        <w:t>技术要求</w:t>
      </w:r>
    </w:p>
    <w:p w14:paraId="0AE82170">
      <w:pPr>
        <w:rPr>
          <w:rFonts w:hint="eastAsia"/>
        </w:rPr>
      </w:pPr>
    </w:p>
    <w:p w14:paraId="0A6549C2">
      <w:pPr>
        <w:spacing w:line="360" w:lineRule="auto"/>
        <w:ind w:firstLine="480" w:firstLineChars="200"/>
        <w:rPr>
          <w:rFonts w:hint="eastAsia"/>
          <w:sz w:val="24"/>
          <w:szCs w:val="24"/>
        </w:rPr>
      </w:pPr>
      <w:r>
        <w:rPr>
          <w:rFonts w:hint="eastAsia"/>
          <w:sz w:val="24"/>
          <w:szCs w:val="24"/>
        </w:rPr>
        <w:t>一、产品成分：主要成分为天然橡胶、丁苯橡胶、顺丁橡胶及辅材，夹高强度尼龙网布。对人畜健康无危害，隔潮、隔热、隔寒、防静电、易清洁、易更换。</w:t>
      </w:r>
    </w:p>
    <w:p w14:paraId="772FCB22">
      <w:pPr>
        <w:spacing w:line="360" w:lineRule="auto"/>
        <w:ind w:firstLine="480" w:firstLineChars="200"/>
        <w:rPr>
          <w:sz w:val="24"/>
          <w:szCs w:val="24"/>
        </w:rPr>
      </w:pPr>
      <w:r>
        <w:rPr>
          <w:sz w:val="24"/>
          <w:szCs w:val="24"/>
        </w:rPr>
        <w:t>二</w:t>
      </w:r>
      <w:r>
        <w:rPr>
          <w:rFonts w:hint="eastAsia"/>
          <w:sz w:val="24"/>
          <w:szCs w:val="24"/>
        </w:rPr>
        <w:t>、</w:t>
      </w:r>
      <w:r>
        <w:rPr>
          <w:sz w:val="24"/>
          <w:szCs w:val="24"/>
        </w:rPr>
        <w:t>外观及尺寸</w:t>
      </w:r>
      <w:r>
        <w:rPr>
          <w:rFonts w:hint="eastAsia"/>
          <w:sz w:val="24"/>
          <w:szCs w:val="24"/>
        </w:rPr>
        <w:t>：条形沟槽带圆点。厚度20</w:t>
      </w:r>
      <w:r>
        <w:rPr>
          <w:sz w:val="24"/>
          <w:szCs w:val="24"/>
        </w:rPr>
        <w:t>mm</w:t>
      </w:r>
      <w:r>
        <w:rPr>
          <w:rFonts w:hint="eastAsia"/>
          <w:sz w:val="24"/>
          <w:szCs w:val="24"/>
        </w:rPr>
        <w:t>，宽度2m以内、长度5</w:t>
      </w:r>
      <w:r>
        <w:rPr>
          <w:sz w:val="24"/>
          <w:szCs w:val="24"/>
        </w:rPr>
        <w:t>0m</w:t>
      </w:r>
      <w:r>
        <w:rPr>
          <w:rFonts w:hint="eastAsia"/>
          <w:sz w:val="24"/>
          <w:szCs w:val="24"/>
        </w:rPr>
        <w:t>以内，根据牧场要求定制。</w:t>
      </w:r>
    </w:p>
    <w:p w14:paraId="24934D85">
      <w:pPr>
        <w:spacing w:line="360" w:lineRule="auto"/>
        <w:jc w:val="center"/>
        <w:rPr>
          <w:rFonts w:hint="eastAsia"/>
          <w:sz w:val="24"/>
          <w:szCs w:val="24"/>
        </w:rPr>
      </w:pPr>
      <w:r>
        <w:drawing>
          <wp:inline distT="0" distB="0" distL="114300" distR="114300">
            <wp:extent cx="2266315" cy="1351915"/>
            <wp:effectExtent l="0" t="0" r="4445" b="4445"/>
            <wp:docPr id="3" name="图片 1" descr="条形龟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条形龟背"/>
                    <pic:cNvPicPr>
                      <a:picLocks noChangeAspect="1"/>
                    </pic:cNvPicPr>
                  </pic:nvPicPr>
                  <pic:blipFill>
                    <a:blip r:embed="rId22"/>
                    <a:stretch>
                      <a:fillRect/>
                    </a:stretch>
                  </pic:blipFill>
                  <pic:spPr>
                    <a:xfrm>
                      <a:off x="0" y="0"/>
                      <a:ext cx="2266315" cy="1351915"/>
                    </a:xfrm>
                    <a:prstGeom prst="rect">
                      <a:avLst/>
                    </a:prstGeom>
                    <a:noFill/>
                    <a:ln>
                      <a:noFill/>
                    </a:ln>
                  </pic:spPr>
                </pic:pic>
              </a:graphicData>
            </a:graphic>
          </wp:inline>
        </w:drawing>
      </w:r>
    </w:p>
    <w:p w14:paraId="483F1C6C">
      <w:pPr>
        <w:spacing w:line="360" w:lineRule="auto"/>
        <w:ind w:firstLine="480" w:firstLineChars="200"/>
        <w:rPr>
          <w:sz w:val="24"/>
          <w:szCs w:val="24"/>
        </w:rPr>
      </w:pPr>
      <w:r>
        <w:rPr>
          <w:rFonts w:hint="eastAsia"/>
          <w:sz w:val="24"/>
          <w:szCs w:val="24"/>
        </w:rPr>
        <w:t>三、物理性能：</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9"/>
        <w:gridCol w:w="4065"/>
      </w:tblGrid>
      <w:tr w14:paraId="4773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shd w:val="clear" w:color="auto" w:fill="auto"/>
            <w:noWrap w:val="0"/>
            <w:vAlign w:val="top"/>
          </w:tcPr>
          <w:p w14:paraId="3F89D7EF">
            <w:pPr>
              <w:spacing w:line="360" w:lineRule="auto"/>
              <w:rPr>
                <w:rFonts w:hint="eastAsia"/>
                <w:b/>
                <w:sz w:val="24"/>
                <w:szCs w:val="24"/>
              </w:rPr>
            </w:pPr>
            <w:r>
              <w:rPr>
                <w:rFonts w:hint="eastAsia"/>
                <w:b/>
                <w:sz w:val="24"/>
                <w:szCs w:val="24"/>
              </w:rPr>
              <w:t>项目</w:t>
            </w:r>
          </w:p>
        </w:tc>
        <w:tc>
          <w:tcPr>
            <w:tcW w:w="4065" w:type="dxa"/>
            <w:shd w:val="clear" w:color="auto" w:fill="auto"/>
            <w:noWrap w:val="0"/>
            <w:vAlign w:val="top"/>
          </w:tcPr>
          <w:p w14:paraId="6DB322EF">
            <w:pPr>
              <w:spacing w:line="360" w:lineRule="auto"/>
              <w:rPr>
                <w:rFonts w:hint="eastAsia"/>
                <w:b/>
                <w:sz w:val="24"/>
                <w:szCs w:val="24"/>
              </w:rPr>
            </w:pPr>
            <w:r>
              <w:rPr>
                <w:rFonts w:hint="eastAsia"/>
                <w:b/>
                <w:sz w:val="24"/>
                <w:szCs w:val="24"/>
              </w:rPr>
              <w:t>性能</w:t>
            </w:r>
          </w:p>
        </w:tc>
      </w:tr>
      <w:tr w14:paraId="16BB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shd w:val="clear" w:color="auto" w:fill="auto"/>
            <w:noWrap w:val="0"/>
            <w:vAlign w:val="top"/>
          </w:tcPr>
          <w:p w14:paraId="4A53B7BD">
            <w:pPr>
              <w:spacing w:line="360" w:lineRule="auto"/>
              <w:rPr>
                <w:rFonts w:hint="default" w:eastAsia="宋体"/>
                <w:b/>
                <w:sz w:val="24"/>
                <w:szCs w:val="24"/>
                <w:lang w:val="en-US" w:eastAsia="zh-CN"/>
              </w:rPr>
            </w:pPr>
            <w:r>
              <w:rPr>
                <w:rFonts w:hint="eastAsia" w:eastAsia="宋体"/>
                <w:b/>
                <w:sz w:val="24"/>
                <w:szCs w:val="24"/>
                <w:lang w:eastAsia="zh-CN"/>
              </w:rPr>
              <w:t>拉伸</w:t>
            </w:r>
            <w:r>
              <w:rPr>
                <w:rFonts w:hint="eastAsia"/>
                <w:b/>
                <w:sz w:val="24"/>
                <w:szCs w:val="24"/>
              </w:rPr>
              <w:t>强度</w:t>
            </w:r>
          </w:p>
        </w:tc>
        <w:tc>
          <w:tcPr>
            <w:tcW w:w="4065" w:type="dxa"/>
            <w:shd w:val="clear" w:color="auto" w:fill="auto"/>
            <w:noWrap w:val="0"/>
            <w:vAlign w:val="top"/>
          </w:tcPr>
          <w:p w14:paraId="47DF1159">
            <w:pPr>
              <w:spacing w:line="360" w:lineRule="auto"/>
              <w:rPr>
                <w:rFonts w:hint="eastAsia"/>
                <w:b/>
                <w:sz w:val="24"/>
                <w:szCs w:val="24"/>
              </w:rPr>
            </w:pPr>
            <w:r>
              <w:rPr>
                <w:rFonts w:hint="eastAsia"/>
                <w:b/>
                <w:sz w:val="24"/>
                <w:szCs w:val="24"/>
              </w:rPr>
              <w:t>≥</w:t>
            </w:r>
            <w:r>
              <w:rPr>
                <w:rFonts w:hint="eastAsia" w:eastAsia="宋体"/>
                <w:b/>
                <w:sz w:val="24"/>
                <w:szCs w:val="24"/>
                <w:lang w:val="en-US" w:eastAsia="zh-CN"/>
              </w:rPr>
              <w:t>6</w:t>
            </w:r>
            <w:r>
              <w:rPr>
                <w:rFonts w:hint="eastAsia"/>
                <w:b/>
                <w:sz w:val="24"/>
                <w:szCs w:val="24"/>
              </w:rPr>
              <w:t>Mpa</w:t>
            </w:r>
          </w:p>
        </w:tc>
      </w:tr>
      <w:tr w14:paraId="7806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shd w:val="clear" w:color="auto" w:fill="auto"/>
            <w:noWrap w:val="0"/>
            <w:vAlign w:val="top"/>
          </w:tcPr>
          <w:p w14:paraId="47FDC5AD">
            <w:pPr>
              <w:keepNext w:val="0"/>
              <w:keepLines w:val="0"/>
              <w:widowControl/>
              <w:suppressLineNumbers w:val="0"/>
              <w:jc w:val="left"/>
              <w:rPr>
                <w:rFonts w:hint="eastAsia"/>
                <w:b/>
                <w:sz w:val="24"/>
                <w:szCs w:val="24"/>
              </w:rPr>
            </w:pPr>
            <w:r>
              <w:rPr>
                <w:rFonts w:hint="eastAsia"/>
                <w:b/>
                <w:sz w:val="24"/>
                <w:szCs w:val="24"/>
              </w:rPr>
              <w:t>硬度</w:t>
            </w:r>
            <w:r>
              <w:rPr>
                <w:rFonts w:hint="eastAsia" w:ascii="宋体" w:hAnsi="宋体" w:eastAsia="宋体" w:cs="宋体"/>
                <w:b/>
                <w:bCs/>
                <w:snapToGrid w:val="0"/>
                <w:color w:val="000000"/>
                <w:kern w:val="0"/>
                <w:sz w:val="19"/>
                <w:szCs w:val="19"/>
                <w:lang w:val="en-US" w:eastAsia="zh-CN" w:bidi="ar"/>
              </w:rPr>
              <w:t xml:space="preserve"> </w:t>
            </w:r>
            <w:r>
              <w:rPr>
                <w:rFonts w:ascii="Arial" w:hAnsi="Arial" w:eastAsia="宋体" w:cs="Arial"/>
                <w:b/>
                <w:bCs/>
                <w:snapToGrid w:val="0"/>
                <w:color w:val="000000"/>
                <w:kern w:val="0"/>
                <w:sz w:val="19"/>
                <w:szCs w:val="19"/>
                <w:lang w:val="en-US" w:eastAsia="zh-CN" w:bidi="ar"/>
              </w:rPr>
              <w:t xml:space="preserve">(Shore </w:t>
            </w:r>
            <w:r>
              <w:rPr>
                <w:rFonts w:hint="default" w:ascii="Arial" w:hAnsi="Arial" w:eastAsia="宋体" w:cs="Arial"/>
                <w:b/>
                <w:bCs/>
                <w:snapToGrid w:val="0"/>
                <w:color w:val="000000"/>
                <w:kern w:val="0"/>
                <w:sz w:val="19"/>
                <w:szCs w:val="19"/>
                <w:lang w:val="en-US" w:eastAsia="zh-CN" w:bidi="ar"/>
              </w:rPr>
              <w:t>A)</w:t>
            </w:r>
          </w:p>
        </w:tc>
        <w:tc>
          <w:tcPr>
            <w:tcW w:w="4065" w:type="dxa"/>
            <w:shd w:val="clear" w:color="auto" w:fill="auto"/>
            <w:noWrap w:val="0"/>
            <w:vAlign w:val="top"/>
          </w:tcPr>
          <w:p w14:paraId="5597252C">
            <w:pPr>
              <w:spacing w:line="360" w:lineRule="auto"/>
              <w:rPr>
                <w:rFonts w:hint="eastAsia"/>
                <w:b/>
                <w:sz w:val="24"/>
                <w:szCs w:val="24"/>
              </w:rPr>
            </w:pPr>
            <w:r>
              <w:rPr>
                <w:rFonts w:hint="eastAsia"/>
                <w:b/>
                <w:sz w:val="24"/>
                <w:szCs w:val="24"/>
              </w:rPr>
              <w:t>65±5</w:t>
            </w:r>
          </w:p>
        </w:tc>
      </w:tr>
      <w:tr w14:paraId="3229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shd w:val="clear" w:color="auto" w:fill="auto"/>
            <w:noWrap w:val="0"/>
            <w:vAlign w:val="top"/>
          </w:tcPr>
          <w:p w14:paraId="1BC8D3DE">
            <w:pPr>
              <w:spacing w:line="360" w:lineRule="auto"/>
              <w:rPr>
                <w:rFonts w:hint="eastAsia"/>
                <w:b/>
                <w:sz w:val="24"/>
                <w:szCs w:val="24"/>
              </w:rPr>
            </w:pPr>
            <w:r>
              <w:rPr>
                <w:rFonts w:hint="eastAsia"/>
                <w:b/>
                <w:sz w:val="24"/>
                <w:szCs w:val="24"/>
              </w:rPr>
              <w:t>伸长率</w:t>
            </w:r>
          </w:p>
        </w:tc>
        <w:tc>
          <w:tcPr>
            <w:tcW w:w="4065" w:type="dxa"/>
            <w:shd w:val="clear" w:color="auto" w:fill="auto"/>
            <w:noWrap w:val="0"/>
            <w:vAlign w:val="top"/>
          </w:tcPr>
          <w:p w14:paraId="5B75D1F2">
            <w:pPr>
              <w:spacing w:line="360" w:lineRule="auto"/>
              <w:rPr>
                <w:rFonts w:hint="eastAsia"/>
                <w:b/>
                <w:sz w:val="24"/>
                <w:szCs w:val="24"/>
              </w:rPr>
            </w:pPr>
            <w:r>
              <w:rPr>
                <w:rFonts w:hint="eastAsia"/>
                <w:b/>
                <w:sz w:val="24"/>
                <w:szCs w:val="24"/>
              </w:rPr>
              <w:t>伸长率≥300%</w:t>
            </w:r>
          </w:p>
        </w:tc>
      </w:tr>
      <w:tr w14:paraId="28C7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shd w:val="clear" w:color="auto" w:fill="auto"/>
            <w:noWrap w:val="0"/>
            <w:vAlign w:val="top"/>
          </w:tcPr>
          <w:p w14:paraId="697EF36C">
            <w:pPr>
              <w:spacing w:line="360" w:lineRule="auto"/>
              <w:rPr>
                <w:rFonts w:hint="eastAsia"/>
                <w:b/>
                <w:sz w:val="24"/>
                <w:szCs w:val="24"/>
              </w:rPr>
            </w:pPr>
            <w:r>
              <w:rPr>
                <w:rFonts w:hint="eastAsia"/>
                <w:b/>
                <w:sz w:val="24"/>
                <w:szCs w:val="24"/>
              </w:rPr>
              <w:t>磨耗</w:t>
            </w:r>
          </w:p>
        </w:tc>
        <w:tc>
          <w:tcPr>
            <w:tcW w:w="4065" w:type="dxa"/>
            <w:shd w:val="clear" w:color="auto" w:fill="auto"/>
            <w:noWrap w:val="0"/>
            <w:vAlign w:val="top"/>
          </w:tcPr>
          <w:p w14:paraId="6B9BB996">
            <w:pPr>
              <w:spacing w:line="360" w:lineRule="auto"/>
              <w:rPr>
                <w:rFonts w:hint="eastAsia"/>
                <w:b/>
                <w:sz w:val="24"/>
                <w:szCs w:val="24"/>
              </w:rPr>
            </w:pPr>
            <w:r>
              <w:rPr>
                <w:rFonts w:hint="eastAsia"/>
                <w:b/>
                <w:sz w:val="24"/>
                <w:szCs w:val="24"/>
              </w:rPr>
              <w:t>≤0.6cm3</w:t>
            </w:r>
          </w:p>
        </w:tc>
      </w:tr>
      <w:tr w14:paraId="1364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shd w:val="clear" w:color="auto" w:fill="auto"/>
            <w:noWrap w:val="0"/>
            <w:vAlign w:val="top"/>
          </w:tcPr>
          <w:p w14:paraId="69B4D408">
            <w:pPr>
              <w:spacing w:line="360" w:lineRule="auto"/>
              <w:rPr>
                <w:rFonts w:hint="eastAsia"/>
                <w:b/>
                <w:sz w:val="24"/>
                <w:szCs w:val="24"/>
              </w:rPr>
            </w:pPr>
            <w:r>
              <w:rPr>
                <w:rFonts w:hint="eastAsia"/>
                <w:b/>
                <w:sz w:val="24"/>
                <w:szCs w:val="24"/>
              </w:rPr>
              <w:t>老化系数</w:t>
            </w:r>
          </w:p>
        </w:tc>
        <w:tc>
          <w:tcPr>
            <w:tcW w:w="4065" w:type="dxa"/>
            <w:shd w:val="clear" w:color="auto" w:fill="auto"/>
            <w:noWrap w:val="0"/>
            <w:vAlign w:val="top"/>
          </w:tcPr>
          <w:p w14:paraId="204414F7">
            <w:pPr>
              <w:spacing w:line="360" w:lineRule="auto"/>
              <w:rPr>
                <w:rFonts w:hint="eastAsia"/>
                <w:b/>
                <w:sz w:val="24"/>
                <w:szCs w:val="24"/>
              </w:rPr>
            </w:pPr>
            <w:r>
              <w:rPr>
                <w:rFonts w:hint="eastAsia"/>
                <w:b/>
                <w:sz w:val="24"/>
                <w:szCs w:val="24"/>
              </w:rPr>
              <w:t>0.8</w:t>
            </w:r>
          </w:p>
        </w:tc>
      </w:tr>
      <w:tr w14:paraId="7C3E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shd w:val="clear" w:color="auto" w:fill="auto"/>
            <w:noWrap w:val="0"/>
            <w:vAlign w:val="top"/>
          </w:tcPr>
          <w:p w14:paraId="13DE4914">
            <w:pPr>
              <w:spacing w:line="360" w:lineRule="auto"/>
              <w:rPr>
                <w:rFonts w:hint="eastAsia"/>
                <w:b/>
                <w:sz w:val="24"/>
                <w:szCs w:val="24"/>
                <w:lang w:val="en-US" w:eastAsia="zh-CN"/>
              </w:rPr>
            </w:pPr>
            <w:r>
              <w:rPr>
                <w:rFonts w:hint="eastAsia"/>
                <w:b/>
                <w:sz w:val="24"/>
                <w:szCs w:val="24"/>
                <w:lang w:val="en-US" w:eastAsia="zh-CN"/>
              </w:rPr>
              <w:t>密度g/cm³</w:t>
            </w:r>
          </w:p>
        </w:tc>
        <w:tc>
          <w:tcPr>
            <w:tcW w:w="4065" w:type="dxa"/>
            <w:shd w:val="clear" w:color="auto" w:fill="auto"/>
            <w:noWrap w:val="0"/>
            <w:vAlign w:val="top"/>
          </w:tcPr>
          <w:p w14:paraId="08868A54">
            <w:pPr>
              <w:spacing w:line="360" w:lineRule="auto"/>
              <w:rPr>
                <w:rFonts w:hint="default"/>
                <w:b/>
                <w:sz w:val="24"/>
                <w:szCs w:val="24"/>
                <w:lang w:val="en-US" w:eastAsia="zh-CN"/>
              </w:rPr>
            </w:pPr>
            <w:r>
              <w:rPr>
                <w:rFonts w:hint="eastAsia"/>
                <w:b/>
                <w:sz w:val="24"/>
                <w:szCs w:val="24"/>
                <w:lang w:val="en-US" w:eastAsia="zh-CN"/>
              </w:rPr>
              <w:t>1.35</w:t>
            </w:r>
          </w:p>
        </w:tc>
      </w:tr>
    </w:tbl>
    <w:p w14:paraId="26AA405E">
      <w:pPr>
        <w:spacing w:line="360" w:lineRule="auto"/>
        <w:ind w:firstLine="480" w:firstLineChars="200"/>
        <w:rPr>
          <w:rFonts w:hint="eastAsia"/>
          <w:sz w:val="24"/>
          <w:szCs w:val="24"/>
        </w:rPr>
      </w:pPr>
    </w:p>
    <w:p w14:paraId="61E487A5">
      <w:pPr>
        <w:spacing w:line="360" w:lineRule="auto"/>
        <w:ind w:firstLine="480" w:firstLineChars="200"/>
        <w:rPr>
          <w:rFonts w:hint="eastAsia"/>
          <w:sz w:val="24"/>
          <w:szCs w:val="24"/>
        </w:rPr>
      </w:pPr>
      <w:r>
        <w:rPr>
          <w:rFonts w:hint="eastAsia"/>
          <w:sz w:val="24"/>
          <w:szCs w:val="24"/>
        </w:rPr>
        <w:t>四、安装：</w:t>
      </w:r>
      <w:r>
        <w:rPr>
          <w:rFonts w:hint="eastAsia" w:eastAsia="宋体"/>
          <w:sz w:val="24"/>
          <w:szCs w:val="24"/>
          <w:lang w:eastAsia="zh-CN"/>
        </w:rPr>
        <w:t>条形圆点防滑橡胶垫</w:t>
      </w:r>
      <w:r>
        <w:rPr>
          <w:rFonts w:hint="eastAsia"/>
          <w:sz w:val="24"/>
          <w:szCs w:val="24"/>
        </w:rPr>
        <w:t>需为成卷板材，按照牧场实际尺寸定制和铺设，对齐通道边缘、立柱等，根据实际进行切割，保证安装的整体性；铺设平整，不得出现凹陷、凸起，防止污水滞留；沟槽应顺着地面坡度，便于污水排出；用特制膨胀螺栓固定，间距约0.5米至1米，特殊位置多打螺栓，确保固定牢固、与地面贴合紧密。</w:t>
      </w:r>
    </w:p>
    <w:p w14:paraId="628BE713">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7FDD20AD">
      <w:pPr>
        <w:pStyle w:val="3"/>
        <w:rPr>
          <w:rFonts w:hint="eastAsia"/>
        </w:rPr>
      </w:pPr>
    </w:p>
    <w:p w14:paraId="2779D88F">
      <w:pPr>
        <w:pStyle w:val="3"/>
        <w:rPr>
          <w:rFonts w:hint="eastAsia"/>
        </w:rPr>
      </w:pPr>
    </w:p>
    <w:p w14:paraId="28CAA32B">
      <w:pPr>
        <w:pStyle w:val="3"/>
        <w:rPr>
          <w:rFonts w:hint="eastAsia"/>
        </w:rPr>
      </w:pPr>
    </w:p>
    <w:p w14:paraId="5DC59F80">
      <w:pPr>
        <w:pStyle w:val="3"/>
        <w:rPr>
          <w:rFonts w:hint="eastAsia"/>
        </w:rPr>
      </w:pPr>
    </w:p>
    <w:p w14:paraId="6961966C">
      <w:pPr>
        <w:pStyle w:val="3"/>
        <w:rPr>
          <w:rFonts w:hint="eastAsia"/>
        </w:rPr>
      </w:pPr>
    </w:p>
    <w:p w14:paraId="6416E1BF">
      <w:pPr>
        <w:pStyle w:val="3"/>
        <w:rPr>
          <w:rFonts w:hint="eastAsia"/>
        </w:rPr>
      </w:pPr>
    </w:p>
    <w:p w14:paraId="7A236197">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四</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1" w:type="default"/>
          <w:footerReference r:id="rId12" w:type="default"/>
          <w:pgSz w:w="11905" w:h="16840"/>
          <w:pgMar w:top="400" w:right="1785" w:bottom="615" w:left="1785" w:header="0" w:footer="454" w:gutter="0"/>
          <w:pgNumType w:fmt="numberInDash"/>
          <w:cols w:space="720" w:num="1"/>
        </w:sectPr>
      </w:pPr>
    </w:p>
    <w:p w14:paraId="56D12114">
      <w:pPr>
        <w:spacing w:before="117" w:line="223" w:lineRule="auto"/>
        <w:ind w:left="3623"/>
        <w:rPr>
          <w:rFonts w:hint="eastAsia" w:ascii="仿宋" w:hAnsi="仿宋" w:eastAsia="仿宋" w:cs="仿宋"/>
          <w:spacing w:val="-6"/>
          <w:sz w:val="28"/>
          <w:szCs w:val="28"/>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58FE798">
      <w:pPr>
        <w:spacing w:before="78" w:line="222" w:lineRule="auto"/>
        <w:ind w:left="282"/>
        <w:rPr>
          <w:rFonts w:hint="eastAsia" w:ascii="仿宋" w:hAnsi="仿宋" w:eastAsia="仿宋" w:cs="仿宋"/>
          <w:spacing w:val="-6"/>
          <w:sz w:val="28"/>
          <w:szCs w:val="28"/>
        </w:rPr>
      </w:pPr>
    </w:p>
    <w:p w14:paraId="60318FC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88788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49DED1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60" w:lineRule="auto"/>
        <w:ind w:firstLine="264" w:firstLineChars="10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三、投标报价表</w:t>
      </w:r>
    </w:p>
    <w:p w14:paraId="6640E445">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027761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14:paraId="1B1802BC">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营业执照、基本账户存款信息、法人身份证明</w:t>
      </w:r>
    </w:p>
    <w:p w14:paraId="37C76DEA">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产品介绍、产品第三方检测报告</w:t>
      </w:r>
    </w:p>
    <w:p w14:paraId="30FE1FB0">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textAlignment w:val="baseline"/>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提供202</w:t>
      </w: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至今</w:t>
      </w:r>
      <w:r>
        <w:rPr>
          <w:rFonts w:hint="default" w:ascii="仿宋" w:hAnsi="仿宋" w:eastAsia="仿宋" w:cs="仿宋"/>
          <w:sz w:val="28"/>
          <w:szCs w:val="28"/>
          <w:lang w:val="en-US" w:eastAsia="zh-CN"/>
        </w:rPr>
        <w:t>任意一个月财务报表，新成立的公司提供开户银行出具的资信证明</w:t>
      </w:r>
      <w:r>
        <w:rPr>
          <w:rFonts w:hint="eastAsia" w:ascii="仿宋" w:hAnsi="仿宋" w:eastAsia="仿宋" w:cs="仿宋"/>
          <w:sz w:val="28"/>
          <w:szCs w:val="28"/>
          <w:lang w:val="en-US" w:eastAsia="zh-CN"/>
        </w:rPr>
        <w:t>；提供2023年至今任意1个月依法缴纳税收的相关材料；提供参加采购活动前3年内在经营活动中没有违法记录的书面声明；“信用中国”网站（www.creditchina.gov.cn） 查询结果。</w:t>
      </w:r>
    </w:p>
    <w:p w14:paraId="0E3DE308">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textAlignment w:val="baseline"/>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近两年</w:t>
      </w:r>
      <w:r>
        <w:rPr>
          <w:rFonts w:hint="eastAsia" w:ascii="仿宋" w:hAnsi="仿宋" w:eastAsia="仿宋" w:cs="仿宋"/>
          <w:color w:val="auto"/>
          <w:sz w:val="28"/>
          <w:szCs w:val="28"/>
          <w:lang w:val="en-US" w:eastAsia="zh-CN"/>
        </w:rPr>
        <w:t>产品销售</w:t>
      </w:r>
      <w:r>
        <w:rPr>
          <w:rFonts w:hint="default" w:ascii="仿宋" w:hAnsi="仿宋" w:eastAsia="仿宋" w:cs="仿宋"/>
          <w:color w:val="auto"/>
          <w:sz w:val="28"/>
          <w:szCs w:val="28"/>
          <w:lang w:val="en-US" w:eastAsia="zh-CN"/>
        </w:rPr>
        <w:t>业绩</w:t>
      </w:r>
      <w:r>
        <w:rPr>
          <w:rFonts w:hint="eastAsia" w:ascii="仿宋" w:hAnsi="仿宋" w:eastAsia="仿宋" w:cs="仿宋"/>
          <w:color w:val="auto"/>
          <w:sz w:val="28"/>
          <w:szCs w:val="28"/>
          <w:lang w:val="en-US" w:eastAsia="zh-CN"/>
        </w:rPr>
        <w:t>，与其他奶行业企业合作证明（以签订的合同为准）</w:t>
      </w:r>
    </w:p>
    <w:p w14:paraId="72F84D6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六、投标人认为有必要提交的其他资料</w:t>
      </w:r>
    </w:p>
    <w:p w14:paraId="09EF28A5">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0F01CBB8">
      <w:pPr>
        <w:spacing w:line="243" w:lineRule="auto"/>
        <w:rPr>
          <w:rFonts w:hint="default" w:ascii="Arial" w:eastAsia="宋体"/>
          <w:sz w:val="21"/>
          <w:lang w:val="en-US" w:eastAsia="zh-CN"/>
        </w:rPr>
        <w:sectPr>
          <w:footerReference r:id="rId13"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w:t>
      </w:r>
      <w:r>
        <w:rPr>
          <w:rFonts w:hint="eastAsia" w:ascii="仿宋" w:hAnsi="仿宋" w:eastAsia="仿宋" w:cs="仿宋"/>
          <w:spacing w:val="-9"/>
          <w:sz w:val="24"/>
          <w:szCs w:val="24"/>
          <w:lang w:eastAsia="zh-CN"/>
        </w:rPr>
        <w:t>中华人民共和国招标投标法</w:t>
      </w:r>
      <w:r>
        <w:rPr>
          <w:rFonts w:ascii="仿宋" w:hAnsi="仿宋" w:eastAsia="仿宋" w:cs="仿宋"/>
          <w:spacing w:val="-8"/>
          <w:sz w:val="24"/>
          <w:szCs w:val="24"/>
        </w:rPr>
        <w:t>》</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4"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5"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6" w:type="default"/>
          <w:footerReference r:id="rId17"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1"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9C0EDDD">
            <w:pPr>
              <w:jc w:val="center"/>
              <w:rPr>
                <w:rFonts w:hint="eastAsia" w:eastAsia="宋体"/>
                <w:sz w:val="21"/>
                <w:lang w:val="en-US" w:eastAsia="zh-CN"/>
              </w:rPr>
            </w:pPr>
          </w:p>
          <w:p w14:paraId="65752945">
            <w:pPr>
              <w:jc w:val="center"/>
              <w:rPr>
                <w:rFonts w:hint="eastAsia" w:eastAsia="宋体"/>
                <w:sz w:val="21"/>
                <w:lang w:val="en-US" w:eastAsia="zh-CN"/>
              </w:rPr>
            </w:pPr>
          </w:p>
          <w:p w14:paraId="6E2A260A">
            <w:pPr>
              <w:jc w:val="center"/>
              <w:rPr>
                <w:rFonts w:ascii="Arial"/>
                <w:sz w:val="21"/>
              </w:rPr>
            </w:pPr>
            <w:r>
              <w:rPr>
                <w:rFonts w:hint="eastAsia" w:ascii="仿宋" w:hAnsi="仿宋" w:eastAsia="仿宋" w:cs="仿宋"/>
                <w:sz w:val="28"/>
                <w:szCs w:val="28"/>
                <w:lang w:val="en-US" w:eastAsia="zh-CN"/>
              </w:rPr>
              <w:t>条形圆点防滑橡胶垫采购项目</w:t>
            </w: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AA06DD">
            <w:pPr>
              <w:spacing w:before="78" w:line="222" w:lineRule="auto"/>
              <w:rPr>
                <w:rFonts w:ascii="仿宋" w:hAnsi="仿宋" w:eastAsia="仿宋" w:cs="仿宋"/>
                <w:spacing w:val="-3"/>
                <w:sz w:val="24"/>
                <w:szCs w:val="24"/>
              </w:rPr>
            </w:pPr>
          </w:p>
          <w:p w14:paraId="00FAB5AE">
            <w:pPr>
              <w:spacing w:before="78" w:line="222" w:lineRule="auto"/>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/平方米</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right="262"/>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/平方米</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备注</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8"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9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2088"/>
        <w:gridCol w:w="1928"/>
        <w:gridCol w:w="2289"/>
        <w:gridCol w:w="1770"/>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3" w:type="dxa"/>
            <w:vAlign w:val="top"/>
          </w:tcPr>
          <w:p w14:paraId="3B816E0D">
            <w:pPr>
              <w:spacing w:before="216" w:line="222" w:lineRule="auto"/>
              <w:rPr>
                <w:rFonts w:ascii="仿宋" w:hAnsi="仿宋" w:eastAsia="仿宋" w:cs="仿宋"/>
                <w:sz w:val="24"/>
                <w:szCs w:val="24"/>
              </w:rPr>
            </w:pPr>
            <w:r>
              <w:rPr>
                <w:rFonts w:ascii="仿宋" w:hAnsi="仿宋" w:eastAsia="仿宋" w:cs="仿宋"/>
                <w:spacing w:val="-4"/>
                <w:sz w:val="24"/>
                <w:szCs w:val="24"/>
              </w:rPr>
              <w:t>序号</w:t>
            </w:r>
          </w:p>
        </w:tc>
        <w:tc>
          <w:tcPr>
            <w:tcW w:w="2088"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928" w:type="dxa"/>
            <w:vAlign w:val="top"/>
          </w:tcPr>
          <w:p w14:paraId="05471FAF">
            <w:pPr>
              <w:spacing w:before="216" w:line="223" w:lineRule="auto"/>
              <w:rPr>
                <w:rFonts w:hint="eastAsia" w:ascii="仿宋" w:hAnsi="仿宋" w:eastAsia="仿宋" w:cs="仿宋"/>
                <w:sz w:val="24"/>
                <w:szCs w:val="24"/>
                <w:lang w:eastAsia="zh-CN"/>
              </w:rPr>
            </w:pPr>
            <w:r>
              <w:rPr>
                <w:rFonts w:ascii="仿宋" w:hAnsi="仿宋" w:eastAsia="仿宋" w:cs="仿宋"/>
                <w:spacing w:val="-5"/>
                <w:sz w:val="24"/>
                <w:szCs w:val="24"/>
              </w:rPr>
              <w:t>数</w:t>
            </w:r>
            <w:r>
              <w:rPr>
                <w:rFonts w:ascii="仿宋" w:hAnsi="仿宋" w:eastAsia="仿宋" w:cs="仿宋"/>
                <w:spacing w:val="-3"/>
                <w:sz w:val="24"/>
                <w:szCs w:val="24"/>
              </w:rPr>
              <w:t>量</w:t>
            </w:r>
            <w:r>
              <w:rPr>
                <w:rFonts w:hint="eastAsia" w:ascii="仿宋" w:hAnsi="仿宋" w:eastAsia="仿宋" w:cs="仿宋"/>
                <w:spacing w:val="-3"/>
                <w:sz w:val="24"/>
                <w:szCs w:val="24"/>
                <w:lang w:eastAsia="zh-CN"/>
              </w:rPr>
              <w:t>（平方米）</w:t>
            </w:r>
          </w:p>
        </w:tc>
        <w:tc>
          <w:tcPr>
            <w:tcW w:w="2289" w:type="dxa"/>
            <w:vAlign w:val="top"/>
          </w:tcPr>
          <w:p w14:paraId="0B353351">
            <w:pPr>
              <w:spacing w:before="215" w:line="221" w:lineRule="auto"/>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/平方米</w:t>
            </w:r>
            <w:r>
              <w:rPr>
                <w:rFonts w:hint="eastAsia" w:ascii="仿宋" w:hAnsi="仿宋" w:eastAsia="仿宋" w:cs="仿宋"/>
                <w:spacing w:val="16"/>
                <w:sz w:val="24"/>
                <w:szCs w:val="24"/>
                <w:lang w:eastAsia="zh-CN"/>
              </w:rPr>
              <w:t>）</w:t>
            </w:r>
          </w:p>
        </w:tc>
        <w:tc>
          <w:tcPr>
            <w:tcW w:w="1770" w:type="dxa"/>
            <w:vAlign w:val="top"/>
          </w:tcPr>
          <w:p w14:paraId="207C6F79">
            <w:pPr>
              <w:spacing w:before="216" w:line="224" w:lineRule="auto"/>
              <w:rPr>
                <w:rFonts w:hint="default" w:ascii="仿宋" w:hAnsi="仿宋" w:eastAsia="仿宋" w:cs="仿宋"/>
                <w:sz w:val="24"/>
                <w:szCs w:val="24"/>
                <w:lang w:val="en-US" w:eastAsia="zh-CN"/>
              </w:rPr>
            </w:pPr>
            <w:bookmarkStart w:id="0" w:name="_GoBack"/>
            <w:bookmarkEnd w:id="0"/>
            <w:r>
              <w:rPr>
                <w:rFonts w:hint="eastAsia" w:ascii="仿宋" w:hAnsi="仿宋" w:eastAsia="仿宋" w:cs="仿宋"/>
                <w:sz w:val="24"/>
                <w:szCs w:val="24"/>
                <w:lang w:val="en-US" w:eastAsia="zh-CN"/>
              </w:rPr>
              <w:t>合计（元）</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853" w:type="dxa"/>
            <w:vAlign w:val="top"/>
          </w:tcPr>
          <w:p w14:paraId="092188F0">
            <w:pPr>
              <w:jc w:val="center"/>
              <w:rPr>
                <w:rFonts w:hint="eastAsia" w:ascii="仿宋" w:hAnsi="仿宋" w:eastAsia="仿宋" w:cs="仿宋"/>
                <w:sz w:val="24"/>
                <w:szCs w:val="24"/>
                <w:lang w:val="en-US" w:eastAsia="zh-CN"/>
              </w:rPr>
            </w:pPr>
          </w:p>
          <w:p w14:paraId="4C614DB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088" w:type="dxa"/>
            <w:vAlign w:val="top"/>
          </w:tcPr>
          <w:p w14:paraId="6EE8E02C">
            <w:pPr>
              <w:jc w:val="center"/>
              <w:rPr>
                <w:rFonts w:hint="eastAsia" w:ascii="仿宋" w:hAnsi="仿宋" w:eastAsia="仿宋" w:cs="仿宋"/>
                <w:sz w:val="24"/>
                <w:szCs w:val="24"/>
                <w:lang w:val="en-US" w:eastAsia="zh-CN"/>
              </w:rPr>
            </w:pPr>
          </w:p>
          <w:p w14:paraId="5D1C9571">
            <w:pPr>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条形圆点防滑橡胶垫</w:t>
            </w:r>
          </w:p>
          <w:p w14:paraId="48E4D186">
            <w:pPr>
              <w:jc w:val="center"/>
              <w:rPr>
                <w:rFonts w:hint="eastAsia" w:ascii="仿宋" w:hAnsi="仿宋" w:eastAsia="仿宋" w:cs="仿宋"/>
                <w:sz w:val="24"/>
                <w:szCs w:val="24"/>
                <w:lang w:val="en-US" w:eastAsia="zh-CN"/>
              </w:rPr>
            </w:pPr>
          </w:p>
        </w:tc>
        <w:tc>
          <w:tcPr>
            <w:tcW w:w="1928" w:type="dxa"/>
            <w:vAlign w:val="top"/>
          </w:tcPr>
          <w:p w14:paraId="25B7A7DB">
            <w:pPr>
              <w:jc w:val="center"/>
              <w:rPr>
                <w:rFonts w:hint="eastAsia" w:ascii="仿宋" w:hAnsi="仿宋" w:eastAsia="仿宋" w:cs="仿宋"/>
                <w:sz w:val="24"/>
                <w:szCs w:val="24"/>
                <w:lang w:val="en-US" w:eastAsia="zh-CN"/>
              </w:rPr>
            </w:pPr>
          </w:p>
          <w:p w14:paraId="1FB2290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1100</w:t>
            </w:r>
          </w:p>
        </w:tc>
        <w:tc>
          <w:tcPr>
            <w:tcW w:w="2289" w:type="dxa"/>
            <w:vAlign w:val="top"/>
          </w:tcPr>
          <w:p w14:paraId="679303A2">
            <w:pPr>
              <w:jc w:val="center"/>
              <w:rPr>
                <w:rFonts w:hint="eastAsia" w:ascii="仿宋" w:hAnsi="仿宋" w:eastAsia="仿宋" w:cs="仿宋"/>
                <w:sz w:val="24"/>
                <w:szCs w:val="24"/>
              </w:rPr>
            </w:pPr>
          </w:p>
        </w:tc>
        <w:tc>
          <w:tcPr>
            <w:tcW w:w="1770" w:type="dxa"/>
            <w:vAlign w:val="top"/>
          </w:tcPr>
          <w:p w14:paraId="27BA15F5">
            <w:pPr>
              <w:jc w:val="center"/>
              <w:rPr>
                <w:rFonts w:hint="eastAsia" w:ascii="仿宋" w:hAnsi="仿宋" w:eastAsia="仿宋" w:cs="仿宋"/>
                <w:sz w:val="24"/>
                <w:szCs w:val="24"/>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853" w:type="dxa"/>
            <w:vAlign w:val="top"/>
          </w:tcPr>
          <w:p w14:paraId="2D132D59">
            <w:pPr>
              <w:jc w:val="center"/>
              <w:rPr>
                <w:rFonts w:ascii="Arial"/>
                <w:sz w:val="21"/>
              </w:rPr>
            </w:pPr>
          </w:p>
        </w:tc>
        <w:tc>
          <w:tcPr>
            <w:tcW w:w="2088" w:type="dxa"/>
            <w:vAlign w:val="top"/>
          </w:tcPr>
          <w:p w14:paraId="57F5F40D">
            <w:pPr>
              <w:jc w:val="center"/>
              <w:rPr>
                <w:rFonts w:ascii="Arial"/>
                <w:sz w:val="21"/>
              </w:rPr>
            </w:pPr>
          </w:p>
        </w:tc>
        <w:tc>
          <w:tcPr>
            <w:tcW w:w="1928" w:type="dxa"/>
            <w:vAlign w:val="top"/>
          </w:tcPr>
          <w:p w14:paraId="1FC4B71E">
            <w:pPr>
              <w:jc w:val="center"/>
              <w:rPr>
                <w:rFonts w:ascii="Arial"/>
                <w:sz w:val="21"/>
              </w:rPr>
            </w:pPr>
          </w:p>
        </w:tc>
        <w:tc>
          <w:tcPr>
            <w:tcW w:w="2289" w:type="dxa"/>
            <w:vAlign w:val="top"/>
          </w:tcPr>
          <w:p w14:paraId="1D112024">
            <w:pPr>
              <w:jc w:val="center"/>
              <w:rPr>
                <w:rFonts w:ascii="Arial"/>
                <w:sz w:val="21"/>
              </w:rPr>
            </w:pPr>
          </w:p>
        </w:tc>
        <w:tc>
          <w:tcPr>
            <w:tcW w:w="1770" w:type="dxa"/>
            <w:vAlign w:val="top"/>
          </w:tcPr>
          <w:p w14:paraId="77A55354">
            <w:pPr>
              <w:jc w:val="cente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853" w:type="dxa"/>
            <w:vAlign w:val="top"/>
          </w:tcPr>
          <w:p w14:paraId="68CFFF4B">
            <w:pPr>
              <w:rPr>
                <w:rFonts w:ascii="Arial"/>
                <w:sz w:val="21"/>
              </w:rPr>
            </w:pPr>
          </w:p>
        </w:tc>
        <w:tc>
          <w:tcPr>
            <w:tcW w:w="2088" w:type="dxa"/>
            <w:vAlign w:val="top"/>
          </w:tcPr>
          <w:p w14:paraId="292A91F1">
            <w:pPr>
              <w:rPr>
                <w:rFonts w:ascii="Arial"/>
                <w:sz w:val="21"/>
              </w:rPr>
            </w:pPr>
          </w:p>
        </w:tc>
        <w:tc>
          <w:tcPr>
            <w:tcW w:w="1928" w:type="dxa"/>
            <w:vAlign w:val="top"/>
          </w:tcPr>
          <w:p w14:paraId="7A36F2E7">
            <w:pPr>
              <w:rPr>
                <w:rFonts w:ascii="Arial"/>
                <w:sz w:val="21"/>
              </w:rPr>
            </w:pPr>
          </w:p>
        </w:tc>
        <w:tc>
          <w:tcPr>
            <w:tcW w:w="2289" w:type="dxa"/>
            <w:vAlign w:val="top"/>
          </w:tcPr>
          <w:p w14:paraId="0706D868">
            <w:pPr>
              <w:rPr>
                <w:rFonts w:ascii="Arial"/>
                <w:sz w:val="21"/>
              </w:rPr>
            </w:pPr>
          </w:p>
        </w:tc>
        <w:tc>
          <w:tcPr>
            <w:tcW w:w="1770"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853" w:type="dxa"/>
            <w:vAlign w:val="top"/>
          </w:tcPr>
          <w:p w14:paraId="29ED2B4F">
            <w:pPr>
              <w:rPr>
                <w:rFonts w:ascii="Arial"/>
                <w:sz w:val="21"/>
              </w:rPr>
            </w:pPr>
          </w:p>
        </w:tc>
        <w:tc>
          <w:tcPr>
            <w:tcW w:w="2088" w:type="dxa"/>
            <w:vAlign w:val="top"/>
          </w:tcPr>
          <w:p w14:paraId="0E64B246">
            <w:pPr>
              <w:rPr>
                <w:rFonts w:ascii="Arial"/>
                <w:sz w:val="21"/>
              </w:rPr>
            </w:pPr>
          </w:p>
        </w:tc>
        <w:tc>
          <w:tcPr>
            <w:tcW w:w="1928" w:type="dxa"/>
            <w:vAlign w:val="top"/>
          </w:tcPr>
          <w:p w14:paraId="27556033">
            <w:pPr>
              <w:rPr>
                <w:rFonts w:ascii="Arial"/>
                <w:sz w:val="21"/>
              </w:rPr>
            </w:pPr>
          </w:p>
        </w:tc>
        <w:tc>
          <w:tcPr>
            <w:tcW w:w="2289" w:type="dxa"/>
            <w:vAlign w:val="top"/>
          </w:tcPr>
          <w:p w14:paraId="3BCDA8B8">
            <w:pPr>
              <w:rPr>
                <w:rFonts w:ascii="Arial"/>
                <w:sz w:val="21"/>
              </w:rPr>
            </w:pPr>
          </w:p>
        </w:tc>
        <w:tc>
          <w:tcPr>
            <w:tcW w:w="1770"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853" w:type="dxa"/>
            <w:vAlign w:val="top"/>
          </w:tcPr>
          <w:p w14:paraId="352E1C5D">
            <w:pPr>
              <w:rPr>
                <w:rFonts w:ascii="Arial"/>
                <w:sz w:val="21"/>
              </w:rPr>
            </w:pPr>
          </w:p>
        </w:tc>
        <w:tc>
          <w:tcPr>
            <w:tcW w:w="2088" w:type="dxa"/>
            <w:vAlign w:val="top"/>
          </w:tcPr>
          <w:p w14:paraId="6A569416">
            <w:pPr>
              <w:rPr>
                <w:rFonts w:ascii="Arial"/>
                <w:sz w:val="21"/>
              </w:rPr>
            </w:pPr>
          </w:p>
        </w:tc>
        <w:tc>
          <w:tcPr>
            <w:tcW w:w="1928" w:type="dxa"/>
            <w:vAlign w:val="top"/>
          </w:tcPr>
          <w:p w14:paraId="399CCCAF">
            <w:pPr>
              <w:rPr>
                <w:rFonts w:ascii="Arial"/>
                <w:sz w:val="21"/>
              </w:rPr>
            </w:pPr>
          </w:p>
        </w:tc>
        <w:tc>
          <w:tcPr>
            <w:tcW w:w="2289" w:type="dxa"/>
            <w:vAlign w:val="top"/>
          </w:tcPr>
          <w:p w14:paraId="4C4F6F10">
            <w:pPr>
              <w:rPr>
                <w:rFonts w:ascii="Arial"/>
                <w:sz w:val="21"/>
              </w:rPr>
            </w:pPr>
          </w:p>
        </w:tc>
        <w:tc>
          <w:tcPr>
            <w:tcW w:w="1770"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928" w:type="dxa"/>
            <w:gridSpan w:val="5"/>
            <w:vAlign w:val="top"/>
          </w:tcPr>
          <w:p w14:paraId="688A004D">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317C9561">
            <w:pPr>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以上报价含税、运输、包装、安装材料等一切费用。</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9D28BC9">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营业执照、基本账户存款信息、法人身份证明</w:t>
      </w:r>
    </w:p>
    <w:p w14:paraId="3F49CFC1">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300" w:leftChars="0"/>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产品介绍、产品第三方检测报告</w:t>
      </w:r>
    </w:p>
    <w:p w14:paraId="534F9F11">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300" w:leftChars="0"/>
        <w:textAlignment w:val="baseline"/>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提供2023</w:t>
      </w:r>
      <w:r>
        <w:rPr>
          <w:rFonts w:hint="eastAsia" w:ascii="仿宋" w:hAnsi="仿宋" w:eastAsia="仿宋" w:cs="仿宋"/>
          <w:sz w:val="28"/>
          <w:szCs w:val="28"/>
          <w:lang w:val="en-US" w:eastAsia="zh-CN"/>
        </w:rPr>
        <w:t>至今</w:t>
      </w:r>
      <w:r>
        <w:rPr>
          <w:rFonts w:hint="default" w:ascii="仿宋" w:hAnsi="仿宋" w:eastAsia="仿宋" w:cs="仿宋"/>
          <w:sz w:val="28"/>
          <w:szCs w:val="28"/>
          <w:lang w:val="en-US" w:eastAsia="zh-CN"/>
        </w:rPr>
        <w:t>任意一个月财务报表，新成立的公司提供开户银行出具的资信证明</w:t>
      </w:r>
      <w:r>
        <w:rPr>
          <w:rFonts w:hint="eastAsia" w:ascii="仿宋" w:hAnsi="仿宋" w:eastAsia="仿宋" w:cs="仿宋"/>
          <w:sz w:val="28"/>
          <w:szCs w:val="28"/>
          <w:lang w:val="en-US" w:eastAsia="zh-CN"/>
        </w:rPr>
        <w:t>；提供2023年至今任意1个月依法缴纳税收的相关材料；提供参加采购活动前3年内在经营活动中没有违法记录的书面声明；“信用中国”网站（www.creditchina.gov.cn） 查询结果</w:t>
      </w:r>
    </w:p>
    <w:p w14:paraId="59D53FE5">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300" w:leftChars="0"/>
        <w:textAlignment w:val="baseline"/>
        <w:rPr>
          <w:rFonts w:hint="default" w:ascii="仿宋" w:hAnsi="仿宋" w:eastAsia="仿宋" w:cs="仿宋"/>
          <w:color w:val="FF0000"/>
          <w:sz w:val="28"/>
          <w:szCs w:val="28"/>
          <w:lang w:val="en-US" w:eastAsia="zh-CN"/>
        </w:rPr>
      </w:pPr>
      <w:r>
        <w:rPr>
          <w:rFonts w:hint="default" w:ascii="仿宋" w:hAnsi="仿宋" w:eastAsia="仿宋" w:cs="仿宋"/>
          <w:color w:val="FF0000"/>
          <w:sz w:val="28"/>
          <w:szCs w:val="28"/>
          <w:lang w:val="en-US" w:eastAsia="zh-CN"/>
        </w:rPr>
        <w:t>近两年</w:t>
      </w:r>
      <w:r>
        <w:rPr>
          <w:rFonts w:hint="eastAsia" w:ascii="仿宋" w:hAnsi="仿宋" w:eastAsia="仿宋" w:cs="仿宋"/>
          <w:color w:val="FF0000"/>
          <w:sz w:val="28"/>
          <w:szCs w:val="28"/>
          <w:lang w:val="en-US" w:eastAsia="zh-CN"/>
        </w:rPr>
        <w:t>场产品销售</w:t>
      </w:r>
      <w:r>
        <w:rPr>
          <w:rFonts w:hint="default" w:ascii="仿宋" w:hAnsi="仿宋" w:eastAsia="仿宋" w:cs="仿宋"/>
          <w:color w:val="FF0000"/>
          <w:sz w:val="28"/>
          <w:szCs w:val="28"/>
          <w:lang w:val="en-US" w:eastAsia="zh-CN"/>
        </w:rPr>
        <w:t>业绩</w:t>
      </w:r>
      <w:r>
        <w:rPr>
          <w:rFonts w:hint="eastAsia" w:ascii="仿宋" w:hAnsi="仿宋" w:eastAsia="仿宋" w:cs="仿宋"/>
          <w:color w:val="FF0000"/>
          <w:sz w:val="28"/>
          <w:szCs w:val="28"/>
          <w:lang w:val="en-US" w:eastAsia="zh-CN"/>
        </w:rPr>
        <w:t>，与其他奶行业企业合作证明（以签订的合同为准）</w:t>
      </w:r>
    </w:p>
    <w:p w14:paraId="726C84AE">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A944B"/>
    <w:multiLevelType w:val="singleLevel"/>
    <w:tmpl w:val="EB8A944B"/>
    <w:lvl w:ilvl="0" w:tentative="0">
      <w:start w:val="1"/>
      <w:numFmt w:val="decimal"/>
      <w:suff w:val="nothing"/>
      <w:lvlText w:val="%1、"/>
      <w:lvlJc w:val="left"/>
    </w:lvl>
  </w:abstractNum>
  <w:abstractNum w:abstractNumId="1">
    <w:nsid w:val="139D394C"/>
    <w:multiLevelType w:val="singleLevel"/>
    <w:tmpl w:val="139D394C"/>
    <w:lvl w:ilvl="0" w:tentative="0">
      <w:start w:val="1"/>
      <w:numFmt w:val="decimal"/>
      <w:suff w:val="nothing"/>
      <w:lvlText w:val="%1、"/>
      <w:lvlJc w:val="left"/>
    </w:lvl>
  </w:abstractNum>
  <w:abstractNum w:abstractNumId="2">
    <w:nsid w:val="27955750"/>
    <w:multiLevelType w:val="singleLevel"/>
    <w:tmpl w:val="27955750"/>
    <w:lvl w:ilvl="0" w:tentative="0">
      <w:start w:val="1"/>
      <w:numFmt w:val="decimal"/>
      <w:suff w:val="nothing"/>
      <w:lvlText w:val="%1、"/>
      <w:lvlJc w:val="left"/>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98F8D7A"/>
    <w:multiLevelType w:val="singleLevel"/>
    <w:tmpl w:val="698F8D7A"/>
    <w:lvl w:ilvl="0" w:tentative="0">
      <w:start w:val="1"/>
      <w:numFmt w:val="chineseCounting"/>
      <w:suff w:val="nothing"/>
      <w:lvlText w:val="第%1章、"/>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16407A9"/>
    <w:rsid w:val="01A2328E"/>
    <w:rsid w:val="026F74C4"/>
    <w:rsid w:val="04185410"/>
    <w:rsid w:val="04DE22EF"/>
    <w:rsid w:val="05AE2ED4"/>
    <w:rsid w:val="072A174C"/>
    <w:rsid w:val="07842C9D"/>
    <w:rsid w:val="078925D1"/>
    <w:rsid w:val="0A116E13"/>
    <w:rsid w:val="0ADD23D6"/>
    <w:rsid w:val="0D085104"/>
    <w:rsid w:val="0D825855"/>
    <w:rsid w:val="0E8D574C"/>
    <w:rsid w:val="0F094E6A"/>
    <w:rsid w:val="124A56BE"/>
    <w:rsid w:val="131A3B1D"/>
    <w:rsid w:val="1570056B"/>
    <w:rsid w:val="170B7DB5"/>
    <w:rsid w:val="1B7A286A"/>
    <w:rsid w:val="1B92145B"/>
    <w:rsid w:val="1E214A6A"/>
    <w:rsid w:val="20420C9F"/>
    <w:rsid w:val="20C560FB"/>
    <w:rsid w:val="211C5DFA"/>
    <w:rsid w:val="22887589"/>
    <w:rsid w:val="22F86F27"/>
    <w:rsid w:val="26F17114"/>
    <w:rsid w:val="28862099"/>
    <w:rsid w:val="2A587A65"/>
    <w:rsid w:val="2A793780"/>
    <w:rsid w:val="2FFE6A25"/>
    <w:rsid w:val="33547012"/>
    <w:rsid w:val="34A90430"/>
    <w:rsid w:val="353C5AA8"/>
    <w:rsid w:val="365F7B64"/>
    <w:rsid w:val="37B33CDF"/>
    <w:rsid w:val="385C0B47"/>
    <w:rsid w:val="3C3C794B"/>
    <w:rsid w:val="3E8348EF"/>
    <w:rsid w:val="40081B38"/>
    <w:rsid w:val="4352109E"/>
    <w:rsid w:val="43881600"/>
    <w:rsid w:val="4445400D"/>
    <w:rsid w:val="44B00A3B"/>
    <w:rsid w:val="45EF6F88"/>
    <w:rsid w:val="49A31231"/>
    <w:rsid w:val="4CE37C0C"/>
    <w:rsid w:val="4D7D6E2D"/>
    <w:rsid w:val="4F5F0402"/>
    <w:rsid w:val="4FDE25AA"/>
    <w:rsid w:val="52EF7BF0"/>
    <w:rsid w:val="53252A3D"/>
    <w:rsid w:val="57A53A3A"/>
    <w:rsid w:val="57D87CF4"/>
    <w:rsid w:val="59270DD1"/>
    <w:rsid w:val="5AAB75B9"/>
    <w:rsid w:val="5AF12886"/>
    <w:rsid w:val="5EF34632"/>
    <w:rsid w:val="619F15E0"/>
    <w:rsid w:val="61AD6766"/>
    <w:rsid w:val="61FD5D41"/>
    <w:rsid w:val="631725C7"/>
    <w:rsid w:val="67F7525A"/>
    <w:rsid w:val="68744D1D"/>
    <w:rsid w:val="689C668C"/>
    <w:rsid w:val="691D392F"/>
    <w:rsid w:val="6C7517D5"/>
    <w:rsid w:val="6D00113C"/>
    <w:rsid w:val="705A515D"/>
    <w:rsid w:val="707B5D4B"/>
    <w:rsid w:val="72D8479F"/>
    <w:rsid w:val="746D5E06"/>
    <w:rsid w:val="74CC105E"/>
    <w:rsid w:val="76397D18"/>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Body Text First Indent"/>
    <w:basedOn w:val="3"/>
    <w:qFormat/>
    <w:uiPriority w:val="0"/>
    <w:pPr>
      <w:spacing w:line="360" w:lineRule="auto"/>
      <w:ind w:firstLine="420"/>
    </w:pPr>
    <w:rPr>
      <w:rFonts w:ascii="宋体" w:hAnsi="宋体"/>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1589</Words>
  <Characters>1763</Characters>
  <TotalTime>3</TotalTime>
  <ScaleCrop>false</ScaleCrop>
  <LinksUpToDate>false</LinksUpToDate>
  <CharactersWithSpaces>1820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2025-04-01T06:35:03Z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8E4824E9318E4F05A50EEC7D9478C487_13</vt:lpwstr>
  </property>
  <property fmtid="{D5CDD505-2E9C-101B-9397-08002B2CF9AE}" pid="6" name="KSOTemplateDocerSaveRecord">
    <vt:lpwstr>eyJoZGlkIjoiNGUyMDVmYWQ1ODI1MWJlMWQxOWQ1MTQyMGJmMTg1OWMiLCJ1c2VySWQiOiI1NTc5OTYwMDEifQ==</vt:lpwstr>
  </property>
</Properties>
</file>