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甘肃德联牧业有限公司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代乳粉</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2"/>
        <w:rPr>
          <w:rFonts w:ascii="Arial"/>
          <w:sz w:val="21"/>
        </w:rPr>
      </w:pPr>
    </w:p>
    <w:p w14:paraId="005678AC">
      <w:pPr>
        <w:pStyle w:val="2"/>
        <w:rPr>
          <w:rFonts w:ascii="Arial"/>
          <w:sz w:val="21"/>
        </w:rPr>
      </w:pPr>
    </w:p>
    <w:p w14:paraId="0AD886E2">
      <w:pPr>
        <w:pStyle w:val="2"/>
        <w:rPr>
          <w:rFonts w:ascii="Arial"/>
          <w:sz w:val="21"/>
        </w:rPr>
      </w:pPr>
    </w:p>
    <w:p w14:paraId="574ADFFE">
      <w:pPr>
        <w:pStyle w:val="2"/>
        <w:rPr>
          <w:rFonts w:ascii="Arial"/>
          <w:sz w:val="21"/>
        </w:rPr>
      </w:pPr>
    </w:p>
    <w:p w14:paraId="1CF416AD">
      <w:pPr>
        <w:pStyle w:val="2"/>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DLMY-CG-DRF-20241113</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甘肃德联牧业有限公司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08310124">
      <w:pPr>
        <w:sectPr>
          <w:headerReference r:id="rId5" w:type="default"/>
          <w:pgSz w:w="11905" w:h="16840"/>
          <w:pgMar w:top="1183" w:right="1610" w:bottom="0" w:left="1616" w:header="882" w:footer="0" w:gutter="0"/>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158BF0D5">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496CE7FA">
      <w:pPr>
        <w:spacing w:before="74"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hint="eastAsia" w:ascii="仿宋" w:hAnsi="仿宋" w:eastAsia="仿宋" w:cs="仿宋"/>
          <w:sz w:val="36"/>
          <w:szCs w:val="36"/>
          <w:lang w:eastAsia="zh-CN"/>
        </w:rPr>
      </w:pPr>
      <w:r>
        <w:rPr>
          <w:rFonts w:hint="eastAsia" w:ascii="仿宋" w:hAnsi="仿宋" w:eastAsia="仿宋" w:cs="仿宋"/>
          <w:sz w:val="36"/>
          <w:szCs w:val="36"/>
          <w:lang w:eastAsia="zh-CN"/>
        </w:rPr>
        <w:t>第四章</w:t>
      </w: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质量标准</w:t>
      </w:r>
    </w:p>
    <w:p w14:paraId="38843F23">
      <w:pPr>
        <w:spacing w:before="268" w:line="222" w:lineRule="auto"/>
        <w:rPr>
          <w:rFonts w:hint="eastAsia" w:ascii="仿宋" w:hAnsi="仿宋" w:eastAsia="仿宋" w:cs="仿宋"/>
          <w:spacing w:val="-6"/>
          <w:sz w:val="36"/>
          <w:szCs w:val="36"/>
          <w:lang w:val="en-US" w:eastAsia="zh-CN"/>
        </w:rPr>
      </w:pPr>
      <w:r>
        <w:rPr>
          <w:rFonts w:hint="eastAsia" w:ascii="仿宋" w:hAnsi="仿宋" w:eastAsia="仿宋" w:cs="仿宋"/>
          <w:spacing w:val="-6"/>
          <w:sz w:val="36"/>
          <w:szCs w:val="36"/>
          <w:lang w:val="en-US" w:eastAsia="zh-CN"/>
        </w:rPr>
        <w:t>拦标价</w:t>
      </w:r>
    </w:p>
    <w:p w14:paraId="384B27B4">
      <w:pPr>
        <w:spacing w:before="266" w:line="189" w:lineRule="auto"/>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6D5FD527">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代乳粉</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2024年11月至2025年11月，根据牧场月计划进行供货。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，甘肃德联牧业有限公司</w:t>
            </w:r>
            <w:r>
              <w:rPr>
                <w:rFonts w:hint="eastAsia" w:ascii="仿宋" w:hAnsi="仿宋" w:eastAsia="仿宋" w:cs="仿宋"/>
                <w:sz w:val="24"/>
                <w:szCs w:val="24"/>
                <w:vertAlign w:val="baseline"/>
                <w:lang w:val="en-US" w:eastAsia="zh-CN"/>
              </w:rPr>
              <w:t>代乳粉</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4</w:t>
            </w:r>
            <w:r>
              <w:rPr>
                <w:rFonts w:ascii="仿宋" w:hAnsi="仿宋" w:eastAsia="仿宋" w:cs="仿宋"/>
                <w:color w:val="auto"/>
                <w:spacing w:val="-35"/>
                <w:sz w:val="24"/>
                <w:szCs w:val="24"/>
              </w:rPr>
              <w:t xml:space="preserve"> </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11</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u w:val="single"/>
                <w:lang w:val="en-US" w:eastAsia="zh-CN"/>
              </w:rPr>
              <w:t>13</w:t>
            </w:r>
            <w:r>
              <w:rPr>
                <w:rFonts w:hint="eastAsia" w:ascii="仿宋" w:hAnsi="仿宋" w:eastAsia="仿宋" w:cs="仿宋"/>
                <w:color w:val="auto"/>
                <w:spacing w:val="-11"/>
                <w:sz w:val="24"/>
                <w:szCs w:val="24"/>
                <w:u w:val="none"/>
                <w:lang w:val="en-US" w:eastAsia="zh-CN"/>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rPr>
              <w:fldChar w:fldCharType="begin"/>
            </w:r>
            <w:r>
              <w:rPr>
                <w:rFonts w:ascii="仿宋" w:hAnsi="仿宋" w:eastAsia="仿宋" w:cs="仿宋"/>
                <w:color w:val="auto"/>
                <w:spacing w:val="-11"/>
                <w:sz w:val="24"/>
                <w:szCs w:val="24"/>
              </w:rPr>
              <w:instrText xml:space="preserve"> HYPERLINK "mailto:时之前将投标文件加盖公章加密后发送至邮箱gansu_qjmy_ts@163.com" </w:instrText>
            </w:r>
            <w:r>
              <w:rPr>
                <w:rFonts w:ascii="仿宋" w:hAnsi="仿宋" w:eastAsia="仿宋" w:cs="仿宋"/>
                <w:color w:val="auto"/>
                <w:spacing w:val="-11"/>
                <w:sz w:val="24"/>
                <w:szCs w:val="24"/>
              </w:rPr>
              <w:fldChar w:fldCharType="separate"/>
            </w:r>
            <w:r>
              <w:rPr>
                <w:rStyle w:val="7"/>
                <w:rFonts w:ascii="仿宋" w:hAnsi="仿宋" w:eastAsia="仿宋" w:cs="仿宋"/>
                <w:color w:val="auto"/>
                <w:spacing w:val="-11"/>
                <w:sz w:val="24"/>
                <w:szCs w:val="24"/>
                <w:u w:val="none"/>
              </w:rPr>
              <w:t>时</w:t>
            </w:r>
            <w:r>
              <w:rPr>
                <w:rStyle w:val="7"/>
                <w:rFonts w:hint="eastAsia" w:ascii="仿宋" w:hAnsi="仿宋" w:eastAsia="仿宋" w:cs="仿宋"/>
                <w:color w:val="auto"/>
                <w:spacing w:val="-11"/>
                <w:sz w:val="24"/>
                <w:szCs w:val="24"/>
                <w:u w:val="none"/>
                <w:lang w:val="en-US" w:eastAsia="zh-CN"/>
              </w:rPr>
              <w:t>30分</w:t>
            </w:r>
            <w:r>
              <w:rPr>
                <w:rStyle w:val="7"/>
                <w:rFonts w:ascii="仿宋" w:hAnsi="仿宋" w:eastAsia="仿宋" w:cs="仿宋"/>
                <w:color w:val="auto"/>
                <w:spacing w:val="-11"/>
                <w:sz w:val="24"/>
                <w:szCs w:val="24"/>
                <w:u w:val="none"/>
              </w:rPr>
              <w:t>之前</w:t>
            </w:r>
            <w:r>
              <w:rPr>
                <w:rStyle w:val="7"/>
                <w:rFonts w:hint="eastAsia" w:ascii="仿宋" w:hAnsi="仿宋" w:eastAsia="仿宋" w:cs="仿宋"/>
                <w:color w:val="auto"/>
                <w:spacing w:val="-11"/>
                <w:sz w:val="24"/>
                <w:szCs w:val="24"/>
                <w:u w:val="none"/>
                <w:lang w:val="en-US" w:eastAsia="zh-CN"/>
              </w:rPr>
              <w:t>将投标文件加盖公章后发送至邮箱</w:t>
            </w:r>
            <w:r>
              <w:rPr>
                <w:rStyle w:val="7"/>
                <w:rFonts w:hint="eastAsia" w:ascii="仿宋" w:hAnsi="仿宋" w:eastAsia="仿宋" w:cs="仿宋"/>
                <w:color w:val="auto"/>
                <w:spacing w:val="-11"/>
                <w:sz w:val="28"/>
                <w:szCs w:val="28"/>
                <w:u w:val="none"/>
                <w:lang w:val="en-US" w:eastAsia="zh-CN"/>
              </w:rPr>
              <w:t>gansu_qjmy_ts@163.com</w:t>
            </w:r>
            <w:r>
              <w:rPr>
                <w:rFonts w:ascii="仿宋" w:hAnsi="仿宋" w:eastAsia="仿宋" w:cs="仿宋"/>
                <w:color w:val="auto"/>
                <w:spacing w:val="-11"/>
                <w:sz w:val="24"/>
                <w:szCs w:val="24"/>
              </w:rPr>
              <w:fldChar w:fldCharType="end"/>
            </w:r>
            <w:r>
              <w:rPr>
                <w:rFonts w:hint="eastAsia" w:ascii="仿宋" w:hAnsi="仿宋" w:eastAsia="仿宋" w:cs="仿宋"/>
                <w:color w:val="auto"/>
                <w:spacing w:val="-11"/>
                <w:sz w:val="28"/>
                <w:szCs w:val="28"/>
                <w:lang w:val="en-US" w:eastAsia="zh-CN"/>
              </w:rPr>
              <w:t xml:space="preserve">                       </w:t>
            </w:r>
            <w:r>
              <w:rPr>
                <w:rFonts w:hint="eastAsia" w:ascii="仿宋" w:hAnsi="仿宋" w:eastAsia="仿宋" w:cs="仿宋"/>
                <w:color w:val="auto"/>
                <w:spacing w:val="-11"/>
                <w:sz w:val="24"/>
                <w:szCs w:val="24"/>
                <w:lang w:val="en-US" w:eastAsia="zh-CN"/>
              </w:rPr>
              <w:t>投标文件命名方式：投标单位名称+项目名称+时间</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1EC1A4EF">
      <w:pPr>
        <w:spacing w:line="235" w:lineRule="exact"/>
      </w:pPr>
    </w:p>
    <w:p w14:paraId="6DF1483B">
      <w:pPr>
        <w:rPr>
          <w:rFonts w:ascii="Arial"/>
          <w:sz w:val="21"/>
        </w:rPr>
      </w:pPr>
    </w:p>
    <w:p w14:paraId="14B00C21">
      <w:pPr>
        <w:sectPr>
          <w:footerReference r:id="rId9" w:type="default"/>
          <w:pgSz w:w="11905" w:h="16840"/>
          <w:pgMar w:top="1183" w:right="1667" w:bottom="1041" w:left="1671" w:header="882" w:footer="853" w:gutter="0"/>
          <w:pgNumType w:fmt="numberInDash"/>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47B1BCBB">
      <w:pPr>
        <w:pStyle w:val="2"/>
        <w:spacing w:before="237" w:line="220" w:lineRule="auto"/>
        <w:jc w:val="left"/>
        <w:outlineLvl w:val="0"/>
        <w:rPr>
          <w:color w:val="0000FF"/>
          <w:sz w:val="28"/>
          <w:szCs w:val="28"/>
        </w:rPr>
      </w:pPr>
      <w:r>
        <w:rPr>
          <w:color w:val="0000FF"/>
          <w:spacing w:val="-1"/>
          <w:sz w:val="28"/>
          <w:szCs w:val="28"/>
        </w:rPr>
        <w:t>代乳粉产品技术标准</w:t>
      </w:r>
    </w:p>
    <w:p w14:paraId="5BF7C4CD">
      <w:pPr>
        <w:spacing w:line="308" w:lineRule="auto"/>
        <w:rPr>
          <w:rFonts w:ascii="Arial"/>
          <w:color w:val="0000FF"/>
          <w:sz w:val="21"/>
        </w:rPr>
      </w:pPr>
    </w:p>
    <w:p w14:paraId="22A567BE">
      <w:pPr>
        <w:pStyle w:val="2"/>
        <w:spacing w:before="183" w:line="218" w:lineRule="auto"/>
        <w:rPr>
          <w:rFonts w:hint="default" w:eastAsia="宋体"/>
          <w:color w:val="0000FF"/>
          <w:spacing w:val="-2"/>
          <w:lang w:val="en-US" w:eastAsia="zh-CN"/>
        </w:rPr>
      </w:pPr>
      <w:r>
        <w:rPr>
          <w:rFonts w:hint="eastAsia"/>
          <w:color w:val="0000FF"/>
          <w:spacing w:val="-2"/>
          <w:lang w:val="en-US" w:eastAsia="zh-CN"/>
        </w:rPr>
        <w:t>一、营养指标</w:t>
      </w:r>
    </w:p>
    <w:p w14:paraId="4C17DC75">
      <w:pPr>
        <w:pStyle w:val="2"/>
        <w:spacing w:before="183" w:line="218" w:lineRule="auto"/>
        <w:ind w:left="65"/>
        <w:rPr>
          <w:rFonts w:hint="eastAsia"/>
          <w:color w:val="0000FF"/>
          <w:spacing w:val="-2"/>
        </w:rPr>
      </w:pPr>
      <w:r>
        <w:rPr>
          <w:rFonts w:hint="eastAsia"/>
          <w:color w:val="0000FF"/>
          <w:spacing w:val="-2"/>
        </w:rPr>
        <w:t>项目</w:t>
      </w:r>
      <w:r>
        <w:rPr>
          <w:rFonts w:hint="eastAsia"/>
          <w:color w:val="0000FF"/>
          <w:spacing w:val="-2"/>
        </w:rPr>
        <w:tab/>
      </w:r>
      <w:r>
        <w:rPr>
          <w:rFonts w:hint="eastAsia"/>
          <w:color w:val="0000FF"/>
          <w:spacing w:val="-2"/>
        </w:rPr>
        <w:t>粗蛋白</w:t>
      </w:r>
      <w:r>
        <w:rPr>
          <w:rFonts w:hint="eastAsia"/>
          <w:color w:val="0000FF"/>
          <w:spacing w:val="-2"/>
        </w:rPr>
        <w:tab/>
      </w:r>
      <w:r>
        <w:rPr>
          <w:rFonts w:hint="eastAsia"/>
          <w:color w:val="0000FF"/>
          <w:spacing w:val="-2"/>
        </w:rPr>
        <w:t>粗脂肪</w:t>
      </w:r>
      <w:r>
        <w:rPr>
          <w:rFonts w:hint="eastAsia"/>
          <w:color w:val="0000FF"/>
          <w:spacing w:val="-2"/>
        </w:rPr>
        <w:tab/>
      </w:r>
      <w:r>
        <w:rPr>
          <w:rFonts w:hint="eastAsia"/>
          <w:color w:val="0000FF"/>
          <w:spacing w:val="-2"/>
        </w:rPr>
        <w:t>乳糖</w:t>
      </w:r>
      <w:r>
        <w:rPr>
          <w:rFonts w:hint="eastAsia"/>
          <w:color w:val="0000FF"/>
          <w:spacing w:val="-2"/>
        </w:rPr>
        <w:tab/>
      </w:r>
      <w:r>
        <w:rPr>
          <w:rFonts w:hint="eastAsia"/>
          <w:color w:val="0000FF"/>
          <w:spacing w:val="-2"/>
          <w:lang w:val="en-US" w:eastAsia="zh-CN"/>
        </w:rPr>
        <w:t xml:space="preserve">   </w:t>
      </w:r>
      <w:r>
        <w:rPr>
          <w:rFonts w:hint="eastAsia"/>
          <w:color w:val="0000FF"/>
          <w:spacing w:val="-2"/>
        </w:rPr>
        <w:t>粗灰分</w:t>
      </w:r>
      <w:r>
        <w:rPr>
          <w:rFonts w:hint="eastAsia"/>
          <w:color w:val="0000FF"/>
          <w:spacing w:val="-2"/>
        </w:rPr>
        <w:tab/>
      </w:r>
      <w:r>
        <w:rPr>
          <w:rFonts w:hint="eastAsia"/>
          <w:color w:val="0000FF"/>
          <w:spacing w:val="-2"/>
          <w:lang w:val="en-US" w:eastAsia="zh-CN"/>
        </w:rPr>
        <w:t xml:space="preserve"> </w:t>
      </w:r>
      <w:r>
        <w:rPr>
          <w:rFonts w:hint="eastAsia"/>
          <w:color w:val="0000FF"/>
          <w:spacing w:val="-2"/>
        </w:rPr>
        <w:t>粗纤维</w:t>
      </w:r>
    </w:p>
    <w:p w14:paraId="75AFA6A6">
      <w:pPr>
        <w:pStyle w:val="2"/>
        <w:spacing w:before="183" w:line="218" w:lineRule="auto"/>
        <w:ind w:left="65"/>
        <w:rPr>
          <w:rFonts w:hint="eastAsia"/>
          <w:color w:val="0000FF"/>
          <w:spacing w:val="-2"/>
        </w:rPr>
      </w:pPr>
      <w:r>
        <w:rPr>
          <w:rFonts w:hint="eastAsia"/>
          <w:color w:val="0000FF"/>
          <w:spacing w:val="-2"/>
        </w:rPr>
        <w:t>标准</w:t>
      </w:r>
      <w:r>
        <w:rPr>
          <w:rFonts w:hint="eastAsia"/>
          <w:color w:val="0000FF"/>
          <w:spacing w:val="-2"/>
        </w:rPr>
        <w:tab/>
      </w:r>
      <w:r>
        <w:rPr>
          <w:rFonts w:hint="eastAsia"/>
          <w:color w:val="0000FF"/>
          <w:spacing w:val="-2"/>
        </w:rPr>
        <w:t>≥22%</w:t>
      </w:r>
      <w:r>
        <w:rPr>
          <w:rFonts w:hint="eastAsia"/>
          <w:color w:val="0000FF"/>
          <w:spacing w:val="-2"/>
        </w:rPr>
        <w:tab/>
      </w:r>
      <w:r>
        <w:rPr>
          <w:rFonts w:hint="eastAsia"/>
          <w:color w:val="0000FF"/>
          <w:spacing w:val="-2"/>
        </w:rPr>
        <w:t>≥20%</w:t>
      </w:r>
      <w:r>
        <w:rPr>
          <w:rFonts w:hint="eastAsia"/>
          <w:color w:val="0000FF"/>
          <w:spacing w:val="-2"/>
        </w:rPr>
        <w:tab/>
      </w:r>
      <w:r>
        <w:rPr>
          <w:rFonts w:hint="eastAsia"/>
          <w:color w:val="0000FF"/>
          <w:spacing w:val="-2"/>
        </w:rPr>
        <w:t>≥42%</w:t>
      </w:r>
      <w:r>
        <w:rPr>
          <w:rFonts w:hint="eastAsia"/>
          <w:color w:val="0000FF"/>
          <w:spacing w:val="-2"/>
        </w:rPr>
        <w:tab/>
      </w:r>
      <w:r>
        <w:rPr>
          <w:rFonts w:hint="eastAsia"/>
          <w:color w:val="0000FF"/>
          <w:spacing w:val="-2"/>
        </w:rPr>
        <w:t>≤8%</w:t>
      </w:r>
      <w:r>
        <w:rPr>
          <w:rFonts w:hint="eastAsia"/>
          <w:color w:val="0000FF"/>
          <w:spacing w:val="-2"/>
          <w:lang w:val="en-US" w:eastAsia="zh-CN"/>
        </w:rPr>
        <w:t xml:space="preserve">     </w:t>
      </w:r>
      <w:r>
        <w:rPr>
          <w:rFonts w:hint="eastAsia"/>
          <w:color w:val="0000FF"/>
          <w:spacing w:val="-2"/>
        </w:rPr>
        <w:t>≤0.4%</w:t>
      </w:r>
    </w:p>
    <w:p w14:paraId="47B20FEA">
      <w:pPr>
        <w:pStyle w:val="2"/>
        <w:spacing w:before="183" w:line="218" w:lineRule="auto"/>
        <w:ind w:left="65"/>
        <w:rPr>
          <w:rFonts w:hint="default" w:eastAsia="宋体"/>
          <w:color w:val="0000FF"/>
          <w:spacing w:val="-2"/>
          <w:lang w:val="en-US" w:eastAsia="zh-CN"/>
        </w:rPr>
      </w:pPr>
      <w:r>
        <w:rPr>
          <w:rFonts w:hint="eastAsia"/>
          <w:color w:val="0000FF"/>
          <w:spacing w:val="-2"/>
          <w:lang w:val="en-US" w:eastAsia="zh-CN"/>
        </w:rPr>
        <w:t>二、技术要求</w:t>
      </w:r>
    </w:p>
    <w:p w14:paraId="25FB53E0">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2.1</w:t>
      </w:r>
      <w:r>
        <w:rPr>
          <w:rFonts w:hint="eastAsia"/>
          <w:color w:val="0000FF"/>
          <w:spacing w:val="-2"/>
          <w:lang w:eastAsia="zh-CN"/>
        </w:rPr>
        <w:t>、</w:t>
      </w:r>
      <w:r>
        <w:rPr>
          <w:rFonts w:hint="eastAsia"/>
          <w:color w:val="0000FF"/>
          <w:spacing w:val="-2"/>
        </w:rPr>
        <w:t>蛋白来源全部为动物蛋白，不含大豆浓缩蛋白、小麦水解蛋白等植物蛋白。</w:t>
      </w:r>
    </w:p>
    <w:p w14:paraId="7DC59137">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2.2 </w:t>
      </w:r>
      <w:r>
        <w:rPr>
          <w:rFonts w:hint="eastAsia"/>
          <w:color w:val="0000FF"/>
          <w:spacing w:val="-2"/>
          <w:lang w:eastAsia="zh-CN"/>
        </w:rPr>
        <w:t>、</w:t>
      </w:r>
      <w:r>
        <w:rPr>
          <w:rFonts w:hint="eastAsia"/>
          <w:color w:val="0000FF"/>
          <w:spacing w:val="-2"/>
        </w:rPr>
        <w:t>脂肪来源全部为动物脂肪，不额外添加植物油。</w:t>
      </w:r>
    </w:p>
    <w:p w14:paraId="3B46C668">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 xml:space="preserve">2.3 </w:t>
      </w:r>
      <w:r>
        <w:rPr>
          <w:rFonts w:hint="eastAsia"/>
          <w:color w:val="0000FF"/>
          <w:spacing w:val="-2"/>
          <w:lang w:eastAsia="zh-CN"/>
        </w:rPr>
        <w:t>、</w:t>
      </w:r>
      <w:r>
        <w:rPr>
          <w:rFonts w:hint="eastAsia"/>
          <w:color w:val="0000FF"/>
          <w:spacing w:val="-2"/>
        </w:rPr>
        <w:t>含有肠道菌群稳定剂：维持肠道内环境稳定，改善犊牛腹泻。</w:t>
      </w:r>
    </w:p>
    <w:p w14:paraId="5EC2D8F9">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2.4</w:t>
      </w:r>
      <w:r>
        <w:rPr>
          <w:rFonts w:hint="eastAsia"/>
          <w:color w:val="0000FF"/>
          <w:spacing w:val="-2"/>
          <w:lang w:eastAsia="zh-CN"/>
        </w:rPr>
        <w:t>、</w:t>
      </w:r>
      <w:r>
        <w:rPr>
          <w:rFonts w:hint="eastAsia"/>
          <w:color w:val="0000FF"/>
          <w:spacing w:val="-2"/>
        </w:rPr>
        <w:t>具有良好的溶解性，溶解度在99%以上，在合适的水温下，能够迅速、完全地溶解，不出现结块现象。</w:t>
      </w:r>
    </w:p>
    <w:p w14:paraId="0A3E0A79">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2.5</w:t>
      </w:r>
      <w:r>
        <w:rPr>
          <w:rFonts w:hint="eastAsia"/>
          <w:color w:val="0000FF"/>
          <w:spacing w:val="-2"/>
          <w:lang w:eastAsia="zh-CN"/>
        </w:rPr>
        <w:t>、</w:t>
      </w:r>
      <w:r>
        <w:rPr>
          <w:rFonts w:hint="eastAsia"/>
          <w:color w:val="0000FF"/>
          <w:spacing w:val="-2"/>
        </w:rPr>
        <w:t xml:space="preserve"> 产品入场后要求在5</w:t>
      </w:r>
      <w:r>
        <w:rPr>
          <w:rFonts w:hint="eastAsia"/>
          <w:color w:val="0000FF"/>
          <w:spacing w:val="-2"/>
          <w:lang w:eastAsia="zh-CN"/>
        </w:rPr>
        <w:t>—</w:t>
      </w:r>
      <w:r>
        <w:rPr>
          <w:rFonts w:hint="eastAsia"/>
          <w:color w:val="0000FF"/>
          <w:spacing w:val="-2"/>
        </w:rPr>
        <w:t>20日龄犊牛连续饲喂10天观察犊牛采食及腹泻情况，要求犊牛腹泻比例小于5%。由牧场人员统计腹泻牛只数据，如未达到要求立即停止饲喂，牧场有权要</w:t>
      </w:r>
      <w:r>
        <w:rPr>
          <w:rFonts w:hint="eastAsia"/>
          <w:color w:val="0000FF"/>
          <w:spacing w:val="-2"/>
          <w:lang w:eastAsia="zh-CN"/>
        </w:rPr>
        <w:t>求</w:t>
      </w:r>
      <w:r>
        <w:rPr>
          <w:rFonts w:hint="eastAsia"/>
          <w:color w:val="0000FF"/>
          <w:spacing w:val="-2"/>
        </w:rPr>
        <w:t>退货，并终止供货合同。</w:t>
      </w:r>
    </w:p>
    <w:p w14:paraId="651C2A39">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w:t>
      </w:r>
      <w:r>
        <w:rPr>
          <w:rFonts w:hint="eastAsia"/>
          <w:color w:val="0000FF"/>
          <w:spacing w:val="-2"/>
          <w:lang w:eastAsia="zh-CN"/>
        </w:rPr>
        <w:t>、</w:t>
      </w:r>
      <w:r>
        <w:rPr>
          <w:rFonts w:hint="eastAsia"/>
          <w:color w:val="0000FF"/>
          <w:spacing w:val="-2"/>
        </w:rPr>
        <w:t>售后服务</w:t>
      </w:r>
    </w:p>
    <w:p w14:paraId="56E266AA">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2.6.1</w:t>
      </w:r>
      <w:r>
        <w:rPr>
          <w:rFonts w:hint="eastAsia"/>
          <w:color w:val="0000FF"/>
          <w:spacing w:val="-2"/>
          <w:lang w:eastAsia="zh-CN"/>
        </w:rPr>
        <w:t>、</w:t>
      </w:r>
      <w:r>
        <w:rPr>
          <w:rFonts w:hint="eastAsia"/>
          <w:color w:val="0000FF"/>
          <w:spacing w:val="-2"/>
        </w:rPr>
        <w:t>供应商或其所投产品品牌方或其所投产品生产厂家有完整的营养体系，持续更新满足牧场持续发展的营养需求；</w:t>
      </w:r>
    </w:p>
    <w:p w14:paraId="4D739F75">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2.6.2</w:t>
      </w:r>
      <w:r>
        <w:rPr>
          <w:rFonts w:hint="eastAsia"/>
          <w:color w:val="0000FF"/>
          <w:spacing w:val="-2"/>
          <w:lang w:eastAsia="zh-CN"/>
        </w:rPr>
        <w:t>、</w:t>
      </w:r>
      <w:r>
        <w:rPr>
          <w:rFonts w:hint="eastAsia"/>
          <w:color w:val="0000FF"/>
          <w:spacing w:val="-2"/>
        </w:rPr>
        <w:t>供应商或其所投产品品牌方或其所投产品生产厂家有原料检测能力，每个月定期或原料变动时对牧场代乳粉进行检测，根据犊牛营养需求及时提出对应服务；</w:t>
      </w:r>
    </w:p>
    <w:p w14:paraId="581AC272">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2.6.3</w:t>
      </w:r>
      <w:r>
        <w:rPr>
          <w:rFonts w:hint="eastAsia"/>
          <w:color w:val="0000FF"/>
          <w:spacing w:val="-2"/>
          <w:lang w:eastAsia="zh-CN"/>
        </w:rPr>
        <w:t>、</w:t>
      </w:r>
      <w:r>
        <w:rPr>
          <w:rFonts w:hint="eastAsia"/>
          <w:color w:val="0000FF"/>
          <w:spacing w:val="-2"/>
        </w:rPr>
        <w:t>供应商或其所投产品品牌方或其所投产品生产厂家定期派专家老师</w:t>
      </w:r>
      <w:r>
        <w:rPr>
          <w:rFonts w:hint="eastAsia"/>
          <w:color w:val="0000FF"/>
          <w:spacing w:val="-2"/>
          <w:lang w:val="en-US" w:eastAsia="zh-CN"/>
        </w:rPr>
        <w:t>到</w:t>
      </w:r>
      <w:r>
        <w:rPr>
          <w:rFonts w:hint="eastAsia"/>
          <w:color w:val="0000FF"/>
          <w:spacing w:val="-2"/>
        </w:rPr>
        <w:t>牧场现场评估，并出具相应的报告；</w:t>
      </w:r>
    </w:p>
    <w:p w14:paraId="5A710F43">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color w:val="0000FF"/>
          <w:spacing w:val="-2"/>
        </w:rPr>
      </w:pPr>
      <w:r>
        <w:rPr>
          <w:rFonts w:hint="eastAsia"/>
          <w:color w:val="0000FF"/>
          <w:spacing w:val="-2"/>
        </w:rPr>
        <w:t>2.6.4</w:t>
      </w:r>
      <w:r>
        <w:rPr>
          <w:rFonts w:hint="eastAsia"/>
          <w:color w:val="0000FF"/>
          <w:spacing w:val="-2"/>
          <w:lang w:eastAsia="zh-CN"/>
        </w:rPr>
        <w:t>、</w:t>
      </w:r>
      <w:r>
        <w:rPr>
          <w:rFonts w:hint="eastAsia"/>
          <w:color w:val="0000FF"/>
          <w:spacing w:val="-2"/>
        </w:rPr>
        <w:t>犊牛饲喂过程中出现犊牛健康问题24小时内</w:t>
      </w:r>
      <w:r>
        <w:rPr>
          <w:rFonts w:hint="eastAsia"/>
          <w:color w:val="0000FF"/>
          <w:spacing w:val="-2"/>
          <w:lang w:eastAsia="zh-CN"/>
        </w:rPr>
        <w:t>做出</w:t>
      </w:r>
      <w:r>
        <w:rPr>
          <w:rFonts w:hint="eastAsia"/>
          <w:color w:val="0000FF"/>
          <w:spacing w:val="-2"/>
        </w:rPr>
        <w:t>响应，问题严重时3</w:t>
      </w:r>
      <w:r>
        <w:rPr>
          <w:rFonts w:hint="eastAsia"/>
          <w:color w:val="0000FF"/>
          <w:spacing w:val="-2"/>
          <w:lang w:val="en-US" w:eastAsia="zh-CN"/>
        </w:rPr>
        <w:t>日</w:t>
      </w:r>
      <w:r>
        <w:rPr>
          <w:rFonts w:hint="eastAsia"/>
          <w:color w:val="0000FF"/>
          <w:spacing w:val="-2"/>
        </w:rPr>
        <w:t>内到牧场现场指导解决。</w:t>
      </w:r>
    </w:p>
    <w:p w14:paraId="464FE5C1">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472" w:firstLineChars="200"/>
        <w:textAlignment w:val="baseline"/>
        <w:rPr>
          <w:rFonts w:hint="eastAsia" w:eastAsia="宋体"/>
          <w:color w:val="0000FF"/>
          <w:spacing w:val="-2"/>
          <w:lang w:eastAsia="zh-CN"/>
        </w:rPr>
      </w:pPr>
      <w:r>
        <w:rPr>
          <w:rFonts w:hint="eastAsia"/>
          <w:color w:val="0000FF"/>
          <w:spacing w:val="-2"/>
        </w:rPr>
        <w:t>2.6.</w:t>
      </w:r>
      <w:r>
        <w:rPr>
          <w:rFonts w:hint="eastAsia"/>
          <w:color w:val="0000FF"/>
          <w:spacing w:val="-2"/>
          <w:lang w:val="en-US" w:eastAsia="zh-CN"/>
        </w:rPr>
        <w:t>5</w:t>
      </w:r>
      <w:r>
        <w:rPr>
          <w:rFonts w:hint="eastAsia"/>
          <w:color w:val="0000FF"/>
          <w:spacing w:val="-2"/>
          <w:lang w:eastAsia="zh-CN"/>
        </w:rPr>
        <w:t>、</w:t>
      </w:r>
      <w:r>
        <w:rPr>
          <w:rFonts w:hint="eastAsia"/>
          <w:color w:val="0000FF"/>
          <w:spacing w:val="-2"/>
        </w:rPr>
        <w:t>投标文件附带第三方检测的报告</w:t>
      </w:r>
      <w:r>
        <w:rPr>
          <w:rFonts w:hint="eastAsia"/>
          <w:color w:val="0000FF"/>
          <w:spacing w:val="-2"/>
          <w:lang w:eastAsia="zh-CN"/>
        </w:rPr>
        <w:t>。</w:t>
      </w:r>
    </w:p>
    <w:p w14:paraId="490307B2">
      <w:pPr>
        <w:spacing w:line="285" w:lineRule="auto"/>
        <w:rPr>
          <w:rFonts w:ascii="Arial"/>
          <w:sz w:val="21"/>
        </w:rPr>
      </w:pPr>
    </w:p>
    <w:p w14:paraId="4D2B2C50">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25FED911">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1、每批次货物必须随车携带质检报告单</w:t>
      </w:r>
      <w:r>
        <w:rPr>
          <w:rFonts w:hint="eastAsia" w:ascii="仿宋" w:hAnsi="仿宋" w:eastAsia="仿宋" w:cs="仿宋"/>
          <w:b/>
          <w:bCs/>
          <w:sz w:val="24"/>
          <w:szCs w:val="24"/>
          <w:lang w:eastAsia="zh-CN"/>
        </w:rPr>
        <w:t>，第年提供</w:t>
      </w:r>
      <w:r>
        <w:rPr>
          <w:rFonts w:hint="eastAsia" w:ascii="仿宋" w:hAnsi="仿宋" w:eastAsia="仿宋" w:cs="仿宋"/>
          <w:b/>
          <w:bCs/>
          <w:sz w:val="24"/>
          <w:szCs w:val="24"/>
          <w:lang w:val="en-US" w:eastAsia="zh-CN"/>
        </w:rPr>
        <w:t>1-2次第三方检验报告；</w:t>
      </w:r>
    </w:p>
    <w:p w14:paraId="0E21D29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D6D2805">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2A15B5A3">
      <w:pPr>
        <w:pStyle w:val="2"/>
      </w:pPr>
    </w:p>
    <w:p w14:paraId="400F6F03">
      <w:pPr>
        <w:numPr>
          <w:ilvl w:val="0"/>
          <w:numId w:val="1"/>
        </w:numPr>
        <w:spacing w:before="156" w:line="222" w:lineRule="auto"/>
        <w:ind w:left="0" w:leftChars="0" w:firstLine="3304" w:firstLineChars="700"/>
        <w:rPr>
          <w:rFonts w:hint="eastAsia" w:ascii="仿宋" w:hAnsi="仿宋" w:eastAsia="仿宋" w:cs="仿宋"/>
          <w:spacing w:val="-4"/>
          <w:sz w:val="48"/>
          <w:szCs w:val="48"/>
          <w:lang w:eastAsia="zh-CN"/>
        </w:rPr>
      </w:pPr>
      <w:r>
        <w:rPr>
          <w:rFonts w:hint="eastAsia" w:ascii="仿宋" w:hAnsi="仿宋" w:eastAsia="仿宋" w:cs="仿宋"/>
          <w:spacing w:val="-4"/>
          <w:sz w:val="48"/>
          <w:szCs w:val="48"/>
          <w:lang w:eastAsia="zh-CN"/>
        </w:rPr>
        <w:t>栏标价</w:t>
      </w:r>
    </w:p>
    <w:p w14:paraId="2B218424">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1380" w:firstLineChars="500"/>
        <w:textAlignment w:val="baseline"/>
        <w:rPr>
          <w:rFonts w:hint="eastAsia"/>
          <w:color w:val="auto"/>
          <w:spacing w:val="-2"/>
          <w:sz w:val="28"/>
          <w:szCs w:val="28"/>
          <w:lang w:val="en-US" w:eastAsia="zh-CN"/>
        </w:rPr>
      </w:pPr>
      <w:r>
        <w:rPr>
          <w:rFonts w:hint="eastAsia"/>
          <w:color w:val="auto"/>
          <w:spacing w:val="-2"/>
          <w:sz w:val="28"/>
          <w:szCs w:val="28"/>
          <w:lang w:val="en-US" w:eastAsia="zh-CN"/>
        </w:rPr>
        <w:t>本交招标代乳粉拦标价：21000元/吨。</w:t>
      </w:r>
      <w:bookmarkStart w:id="0" w:name="_GoBack"/>
    </w:p>
    <w:bookmarkEnd w:id="0"/>
    <w:p w14:paraId="52A2A536">
      <w:pPr>
        <w:pStyle w:val="2"/>
        <w:keepNext w:val="0"/>
        <w:keepLines w:val="0"/>
        <w:pageBreakBefore w:val="0"/>
        <w:widowControl/>
        <w:kinsoku w:val="0"/>
        <w:wordWrap/>
        <w:overflowPunct/>
        <w:topLinePunct w:val="0"/>
        <w:autoSpaceDE w:val="0"/>
        <w:autoSpaceDN w:val="0"/>
        <w:bidi w:val="0"/>
        <w:adjustRightInd w:val="0"/>
        <w:snapToGrid w:val="0"/>
        <w:spacing w:before="183" w:line="219" w:lineRule="auto"/>
        <w:ind w:left="62" w:firstLine="552" w:firstLineChars="200"/>
        <w:textAlignment w:val="baseline"/>
        <w:rPr>
          <w:rFonts w:hint="eastAsia"/>
          <w:color w:val="auto"/>
          <w:spacing w:val="-2"/>
          <w:sz w:val="28"/>
          <w:szCs w:val="28"/>
          <w:lang w:val="en-US" w:eastAsia="zh-CN"/>
        </w:rPr>
      </w:pPr>
    </w:p>
    <w:p w14:paraId="5D50F45D">
      <w:pPr>
        <w:numPr>
          <w:ilvl w:val="0"/>
          <w:numId w:val="1"/>
        </w:numPr>
        <w:spacing w:before="156" w:line="222" w:lineRule="auto"/>
        <w:ind w:left="0" w:leftChars="0" w:firstLine="3318" w:firstLineChars="700"/>
        <w:rPr>
          <w:rFonts w:ascii="仿宋" w:hAnsi="仿宋" w:eastAsia="仿宋" w:cs="仿宋"/>
          <w:spacing w:val="-3"/>
          <w:sz w:val="48"/>
          <w:szCs w:val="48"/>
        </w:rPr>
      </w:pPr>
      <w:r>
        <w:rPr>
          <w:rFonts w:ascii="仿宋" w:hAnsi="仿宋" w:eastAsia="仿宋" w:cs="仿宋"/>
          <w:spacing w:val="-3"/>
          <w:sz w:val="48"/>
          <w:szCs w:val="48"/>
        </w:rPr>
        <w:t xml:space="preserve"> </w:t>
      </w:r>
    </w:p>
    <w:p w14:paraId="0FF7DEBC">
      <w:pPr>
        <w:spacing w:before="156" w:line="222" w:lineRule="auto"/>
        <w:ind w:left="1691"/>
        <w:rPr>
          <w:rFonts w:ascii="仿宋" w:hAnsi="仿宋" w:eastAsia="仿宋" w:cs="仿宋"/>
          <w:sz w:val="48"/>
          <w:szCs w:val="48"/>
        </w:rPr>
      </w:pP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15D452BB">
      <w:pPr>
        <w:sectPr>
          <w:headerReference r:id="rId10" w:type="default"/>
          <w:footerReference r:id="rId11" w:type="default"/>
          <w:pgSz w:w="11905" w:h="16840"/>
          <w:pgMar w:top="400" w:right="1785" w:bottom="615" w:left="1785" w:header="0" w:footer="454" w:gutter="0"/>
          <w:pgNumType w:fmt="numberInDash"/>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2"/>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4238CBF2">
      <w:pPr>
        <w:spacing w:line="243" w:lineRule="auto"/>
        <w:rPr>
          <w:rFonts w:ascii="Arial"/>
          <w:sz w:val="21"/>
        </w:rPr>
        <w:sectPr>
          <w:footerReference r:id="rId12" w:type="default"/>
          <w:pgSz w:w="11905" w:h="16840"/>
          <w:pgMar w:top="400" w:right="1693" w:bottom="615" w:left="1716" w:header="0" w:footer="454" w:gutter="0"/>
          <w:pgNumType w:fmt="numberInDash"/>
          <w:cols w:space="720" w:num="1"/>
        </w:sectPr>
      </w:pPr>
    </w:p>
    <w:p w14:paraId="0054E030">
      <w:pPr>
        <w:pStyle w:val="2"/>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w:t>
      </w:r>
      <w:r>
        <w:rPr>
          <w:rFonts w:hint="eastAsia" w:ascii="仿宋" w:hAnsi="仿宋" w:eastAsia="仿宋" w:cs="仿宋"/>
          <w:spacing w:val="-9"/>
          <w:sz w:val="24"/>
          <w:szCs w:val="24"/>
          <w:lang w:eastAsia="zh-CN"/>
        </w:rPr>
        <w:t>中华人民共和国招标投标法</w:t>
      </w:r>
      <w:r>
        <w:rPr>
          <w:rFonts w:ascii="仿宋" w:hAnsi="仿宋" w:eastAsia="仿宋" w:cs="仿宋"/>
          <w:spacing w:val="-8"/>
          <w:sz w:val="24"/>
          <w:szCs w:val="24"/>
        </w:rPr>
        <w:t>》</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2"/>
        <w:rPr>
          <w:rFonts w:ascii="仿宋" w:hAnsi="仿宋" w:eastAsia="仿宋" w:cs="仿宋"/>
          <w:spacing w:val="-4"/>
          <w:sz w:val="24"/>
          <w:szCs w:val="24"/>
        </w:rPr>
      </w:pPr>
    </w:p>
    <w:p w14:paraId="3B87D261">
      <w:pPr>
        <w:pStyle w:val="2"/>
        <w:rPr>
          <w:rFonts w:ascii="仿宋" w:hAnsi="仿宋" w:eastAsia="仿宋" w:cs="仿宋"/>
          <w:spacing w:val="-4"/>
          <w:sz w:val="24"/>
          <w:szCs w:val="24"/>
        </w:rPr>
      </w:pPr>
    </w:p>
    <w:p w14:paraId="455EBAE0">
      <w:pPr>
        <w:pStyle w:val="2"/>
        <w:rPr>
          <w:rFonts w:ascii="仿宋" w:hAnsi="仿宋" w:eastAsia="仿宋" w:cs="仿宋"/>
          <w:spacing w:val="-4"/>
          <w:sz w:val="24"/>
          <w:szCs w:val="24"/>
        </w:rPr>
      </w:pPr>
    </w:p>
    <w:p w14:paraId="29322EF7">
      <w:pPr>
        <w:pStyle w:val="2"/>
        <w:rPr>
          <w:rFonts w:ascii="仿宋" w:hAnsi="仿宋" w:eastAsia="仿宋" w:cs="仿宋"/>
          <w:spacing w:val="-4"/>
          <w:sz w:val="24"/>
          <w:szCs w:val="24"/>
        </w:rPr>
      </w:pPr>
    </w:p>
    <w:p w14:paraId="78FD59B5">
      <w:pPr>
        <w:pStyle w:val="2"/>
        <w:rPr>
          <w:rFonts w:ascii="仿宋" w:hAnsi="仿宋" w:eastAsia="仿宋" w:cs="仿宋"/>
          <w:spacing w:val="-4"/>
          <w:sz w:val="24"/>
          <w:szCs w:val="24"/>
        </w:rPr>
      </w:pPr>
    </w:p>
    <w:p w14:paraId="6F472C16">
      <w:pPr>
        <w:pStyle w:val="2"/>
        <w:rPr>
          <w:rFonts w:ascii="仿宋" w:hAnsi="仿宋" w:eastAsia="仿宋" w:cs="仿宋"/>
          <w:spacing w:val="-4"/>
          <w:sz w:val="24"/>
          <w:szCs w:val="24"/>
        </w:rPr>
      </w:pPr>
    </w:p>
    <w:p w14:paraId="539ACFE6">
      <w:pPr>
        <w:pStyle w:val="2"/>
        <w:rPr>
          <w:rFonts w:ascii="仿宋" w:hAnsi="仿宋" w:eastAsia="仿宋" w:cs="仿宋"/>
          <w:spacing w:val="-4"/>
          <w:sz w:val="24"/>
          <w:szCs w:val="24"/>
        </w:rPr>
      </w:pPr>
    </w:p>
    <w:p w14:paraId="6168D6E1">
      <w:pPr>
        <w:pStyle w:val="2"/>
        <w:rPr>
          <w:rFonts w:ascii="仿宋" w:hAnsi="仿宋" w:eastAsia="仿宋" w:cs="仿宋"/>
          <w:spacing w:val="-4"/>
          <w:sz w:val="24"/>
          <w:szCs w:val="24"/>
        </w:rPr>
      </w:pPr>
    </w:p>
    <w:p w14:paraId="2817EBB9">
      <w:pPr>
        <w:pStyle w:val="2"/>
        <w:rPr>
          <w:rFonts w:ascii="仿宋" w:hAnsi="仿宋" w:eastAsia="仿宋" w:cs="仿宋"/>
          <w:spacing w:val="-4"/>
          <w:sz w:val="24"/>
          <w:szCs w:val="24"/>
        </w:rPr>
      </w:pPr>
    </w:p>
    <w:p w14:paraId="7B2D6907">
      <w:pPr>
        <w:pStyle w:val="2"/>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7C2A311D">
      <w:pPr>
        <w:sectPr>
          <w:footerReference r:id="rId13" w:type="default"/>
          <w:pgSz w:w="11905" w:h="16840"/>
          <w:pgMar w:top="400" w:right="1693" w:bottom="615" w:left="1716" w:header="0" w:footer="454" w:gutter="0"/>
          <w:pgNumType w:fmt="numberInDash"/>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77AAA3DB">
      <w:pPr>
        <w:sectPr>
          <w:footerReference r:id="rId14" w:type="default"/>
          <w:pgSz w:w="11905" w:h="16840"/>
          <w:pgMar w:top="400" w:right="810" w:bottom="615" w:left="1785" w:header="0" w:footer="454" w:gutter="0"/>
          <w:pgNumType w:fmt="numberInDash"/>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57A37AFC">
      <w:pPr>
        <w:sectPr>
          <w:headerReference r:id="rId15" w:type="default"/>
          <w:footerReference r:id="rId16" w:type="default"/>
          <w:pgSz w:w="11905" w:h="16840"/>
          <w:pgMar w:top="400" w:right="1728" w:bottom="615" w:left="1716" w:header="0" w:footer="454" w:gutter="0"/>
          <w:pgNumType w:fmt="numberInDash"/>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1D9D30C6">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311CBB1B"/>
    <w:p w14:paraId="5D192C31"/>
    <w:p w14:paraId="7B9642B8"/>
    <w:p w14:paraId="61E5A9C9">
      <w:pPr>
        <w:spacing w:line="87" w:lineRule="exact"/>
      </w:pPr>
    </w:p>
    <w:tbl>
      <w:tblPr>
        <w:tblStyle w:val="8"/>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22627C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632" w:hRule="atLeast"/>
        </w:trPr>
        <w:tc>
          <w:tcPr>
            <w:tcW w:w="2183" w:type="dxa"/>
            <w:vAlign w:val="top"/>
          </w:tcPr>
          <w:p w14:paraId="3C93CFDB">
            <w:pPr>
              <w:spacing w:line="321" w:lineRule="auto"/>
              <w:rPr>
                <w:rFonts w:ascii="Arial"/>
                <w:sz w:val="21"/>
              </w:rPr>
            </w:pPr>
          </w:p>
          <w:p w14:paraId="463F4DED">
            <w:pPr>
              <w:spacing w:line="321" w:lineRule="auto"/>
              <w:rPr>
                <w:rFonts w:ascii="Arial"/>
                <w:sz w:val="21"/>
              </w:rPr>
            </w:pPr>
          </w:p>
          <w:p w14:paraId="5582B251">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FDE9B33">
            <w:pPr>
              <w:rPr>
                <w:rFonts w:ascii="Arial"/>
                <w:sz w:val="21"/>
              </w:rPr>
            </w:pPr>
          </w:p>
        </w:tc>
      </w:tr>
      <w:tr w14:paraId="04BC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5355A949">
            <w:pPr>
              <w:spacing w:line="397" w:lineRule="auto"/>
              <w:rPr>
                <w:rFonts w:ascii="Arial"/>
                <w:sz w:val="21"/>
              </w:rPr>
            </w:pPr>
          </w:p>
          <w:p w14:paraId="2B1ABBBE">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FCADAF2">
            <w:pPr>
              <w:rPr>
                <w:rFonts w:ascii="Arial"/>
                <w:sz w:val="21"/>
              </w:rPr>
            </w:pPr>
          </w:p>
        </w:tc>
      </w:tr>
      <w:tr w14:paraId="5CEDE9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49339947">
            <w:pPr>
              <w:spacing w:line="417" w:lineRule="auto"/>
              <w:rPr>
                <w:rFonts w:ascii="Arial"/>
                <w:sz w:val="21"/>
              </w:rPr>
            </w:pPr>
          </w:p>
          <w:p w14:paraId="4CD4DAF9">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38A1103A">
            <w:pPr>
              <w:rPr>
                <w:rFonts w:ascii="Arial"/>
                <w:sz w:val="21"/>
              </w:rPr>
            </w:pPr>
          </w:p>
        </w:tc>
      </w:tr>
      <w:tr w14:paraId="6E2374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7F0775A9">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34FFBD6F"/>
          <w:p w14:paraId="064EA4FD">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AF96367">
      <w:pPr>
        <w:spacing w:line="269" w:lineRule="auto"/>
        <w:rPr>
          <w:rFonts w:ascii="Arial"/>
          <w:sz w:val="21"/>
        </w:rPr>
      </w:pPr>
    </w:p>
    <w:p w14:paraId="512FCC3C">
      <w:pPr>
        <w:spacing w:line="269" w:lineRule="auto"/>
        <w:rPr>
          <w:rFonts w:ascii="Arial"/>
          <w:sz w:val="21"/>
        </w:rPr>
      </w:pPr>
    </w:p>
    <w:p w14:paraId="6A68C0F1">
      <w:pPr>
        <w:spacing w:line="270" w:lineRule="auto"/>
        <w:rPr>
          <w:rFonts w:ascii="Arial"/>
          <w:sz w:val="21"/>
        </w:rPr>
      </w:pPr>
    </w:p>
    <w:p w14:paraId="390F1805">
      <w:pPr>
        <w:spacing w:line="270" w:lineRule="auto"/>
        <w:rPr>
          <w:rFonts w:ascii="Arial"/>
          <w:sz w:val="21"/>
        </w:rPr>
      </w:pPr>
    </w:p>
    <w:p w14:paraId="7D87205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7D9D093A">
      <w:pPr>
        <w:spacing w:line="251" w:lineRule="auto"/>
        <w:rPr>
          <w:rFonts w:ascii="Arial"/>
          <w:sz w:val="21"/>
        </w:rPr>
      </w:pPr>
    </w:p>
    <w:p w14:paraId="6578FE84">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3E3DDE6E">
      <w:pPr>
        <w:spacing w:line="252" w:lineRule="auto"/>
        <w:rPr>
          <w:rFonts w:ascii="Arial"/>
          <w:sz w:val="21"/>
        </w:rPr>
      </w:pPr>
    </w:p>
    <w:p w14:paraId="165E3D09">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2A71B7D5">
      <w:pPr>
        <w:sectPr>
          <w:footerReference r:id="rId17" w:type="default"/>
          <w:pgSz w:w="11905" w:h="16840"/>
          <w:pgMar w:top="400" w:right="1284" w:bottom="615" w:left="1665" w:header="0" w:footer="454" w:gutter="0"/>
          <w:pgNumType w:fmt="numberInDash"/>
          <w:cols w:space="720" w:num="1"/>
        </w:sectPr>
      </w:pPr>
    </w:p>
    <w:p w14:paraId="3BACA929">
      <w:pPr>
        <w:spacing w:line="317" w:lineRule="auto"/>
        <w:rPr>
          <w:rFonts w:ascii="Arial"/>
          <w:sz w:val="21"/>
        </w:rPr>
      </w:pPr>
    </w:p>
    <w:p w14:paraId="79D3B211">
      <w:pPr>
        <w:spacing w:line="318" w:lineRule="auto"/>
        <w:rPr>
          <w:rFonts w:ascii="Arial"/>
          <w:sz w:val="21"/>
        </w:rPr>
      </w:pPr>
    </w:p>
    <w:p w14:paraId="5C25BC76">
      <w:pPr>
        <w:spacing w:line="318" w:lineRule="auto"/>
        <w:rPr>
          <w:rFonts w:ascii="Arial"/>
          <w:sz w:val="21"/>
        </w:rPr>
      </w:pPr>
    </w:p>
    <w:p w14:paraId="1B392500">
      <w:pPr>
        <w:numPr>
          <w:ilvl w:val="0"/>
          <w:numId w:val="3"/>
        </w:numPr>
        <w:spacing w:before="104" w:line="213" w:lineRule="auto"/>
        <w:ind w:left="3109"/>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p w14:paraId="65C18414">
      <w:pPr>
        <w:numPr>
          <w:ilvl w:val="0"/>
          <w:numId w:val="0"/>
        </w:numPr>
        <w:spacing w:before="104" w:line="213" w:lineRule="auto"/>
        <w:outlineLvl w:val="6"/>
        <w:rPr>
          <w:rFonts w:ascii="仿宋" w:hAnsi="仿宋" w:eastAsia="仿宋" w:cs="仿宋"/>
          <w:spacing w:val="-7"/>
          <w:sz w:val="32"/>
          <w:szCs w:val="32"/>
          <w14:textOutline w14:w="4064" w14:cap="flat" w14:cmpd="sng">
            <w14:solidFill>
              <w14:srgbClr w14:val="000000"/>
            </w14:solidFill>
            <w14:prstDash w14:val="solid"/>
            <w14:miter w14:val="0"/>
          </w14:textOutline>
        </w:rPr>
      </w:pPr>
    </w:p>
    <w:tbl>
      <w:tblPr>
        <w:tblStyle w:val="8"/>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0C833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11A59739">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0CCD96A1">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4777F17A">
            <w:pPr>
              <w:spacing w:before="216" w:line="223"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是否满足供货期要求及技术要求</w:t>
            </w:r>
          </w:p>
        </w:tc>
        <w:tc>
          <w:tcPr>
            <w:tcW w:w="1932" w:type="dxa"/>
            <w:vAlign w:val="top"/>
          </w:tcPr>
          <w:p w14:paraId="42F65B3F">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789E5E">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4E67CF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1E5E553B">
            <w:pPr>
              <w:rPr>
                <w:rFonts w:ascii="Arial"/>
                <w:sz w:val="21"/>
              </w:rPr>
            </w:pPr>
          </w:p>
        </w:tc>
        <w:tc>
          <w:tcPr>
            <w:tcW w:w="1623" w:type="dxa"/>
            <w:vAlign w:val="top"/>
          </w:tcPr>
          <w:p w14:paraId="71A5A154">
            <w:pPr>
              <w:rPr>
                <w:rFonts w:ascii="Arial"/>
                <w:sz w:val="21"/>
              </w:rPr>
            </w:pPr>
          </w:p>
        </w:tc>
        <w:tc>
          <w:tcPr>
            <w:tcW w:w="1621" w:type="dxa"/>
            <w:vAlign w:val="top"/>
          </w:tcPr>
          <w:p w14:paraId="0D689BFD">
            <w:pPr>
              <w:rPr>
                <w:rFonts w:ascii="Arial"/>
                <w:sz w:val="21"/>
              </w:rPr>
            </w:pPr>
          </w:p>
        </w:tc>
        <w:tc>
          <w:tcPr>
            <w:tcW w:w="1932" w:type="dxa"/>
            <w:vAlign w:val="top"/>
          </w:tcPr>
          <w:p w14:paraId="185570F6">
            <w:pPr>
              <w:rPr>
                <w:rFonts w:ascii="Arial"/>
                <w:sz w:val="21"/>
              </w:rPr>
            </w:pPr>
          </w:p>
        </w:tc>
        <w:tc>
          <w:tcPr>
            <w:tcW w:w="1363" w:type="dxa"/>
            <w:vAlign w:val="top"/>
          </w:tcPr>
          <w:p w14:paraId="38C7EA16">
            <w:pPr>
              <w:rPr>
                <w:rFonts w:ascii="Arial"/>
                <w:sz w:val="21"/>
              </w:rPr>
            </w:pPr>
          </w:p>
        </w:tc>
      </w:tr>
      <w:tr w14:paraId="57C339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77527BC2">
            <w:pPr>
              <w:rPr>
                <w:rFonts w:ascii="Arial"/>
                <w:sz w:val="21"/>
              </w:rPr>
            </w:pPr>
          </w:p>
        </w:tc>
        <w:tc>
          <w:tcPr>
            <w:tcW w:w="1623" w:type="dxa"/>
            <w:vAlign w:val="top"/>
          </w:tcPr>
          <w:p w14:paraId="3680FA80">
            <w:pPr>
              <w:rPr>
                <w:rFonts w:ascii="Arial"/>
                <w:sz w:val="21"/>
              </w:rPr>
            </w:pPr>
          </w:p>
        </w:tc>
        <w:tc>
          <w:tcPr>
            <w:tcW w:w="1621" w:type="dxa"/>
            <w:vAlign w:val="top"/>
          </w:tcPr>
          <w:p w14:paraId="5CA119B8">
            <w:pPr>
              <w:rPr>
                <w:rFonts w:ascii="Arial"/>
                <w:sz w:val="21"/>
              </w:rPr>
            </w:pPr>
          </w:p>
        </w:tc>
        <w:tc>
          <w:tcPr>
            <w:tcW w:w="1932" w:type="dxa"/>
            <w:vAlign w:val="top"/>
          </w:tcPr>
          <w:p w14:paraId="74537C41">
            <w:pPr>
              <w:rPr>
                <w:rFonts w:ascii="Arial"/>
                <w:sz w:val="21"/>
              </w:rPr>
            </w:pPr>
          </w:p>
        </w:tc>
        <w:tc>
          <w:tcPr>
            <w:tcW w:w="1363" w:type="dxa"/>
            <w:vAlign w:val="top"/>
          </w:tcPr>
          <w:p w14:paraId="2DBB7C18">
            <w:pPr>
              <w:rPr>
                <w:rFonts w:ascii="Arial"/>
                <w:sz w:val="21"/>
              </w:rPr>
            </w:pPr>
          </w:p>
        </w:tc>
      </w:tr>
      <w:tr w14:paraId="17423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295B63A">
            <w:pPr>
              <w:rPr>
                <w:rFonts w:ascii="Arial"/>
                <w:sz w:val="21"/>
              </w:rPr>
            </w:pPr>
          </w:p>
        </w:tc>
        <w:tc>
          <w:tcPr>
            <w:tcW w:w="1623" w:type="dxa"/>
            <w:vAlign w:val="top"/>
          </w:tcPr>
          <w:p w14:paraId="736D290B">
            <w:pPr>
              <w:rPr>
                <w:rFonts w:ascii="Arial"/>
                <w:sz w:val="21"/>
              </w:rPr>
            </w:pPr>
          </w:p>
        </w:tc>
        <w:tc>
          <w:tcPr>
            <w:tcW w:w="1621" w:type="dxa"/>
            <w:vAlign w:val="top"/>
          </w:tcPr>
          <w:p w14:paraId="6F647236">
            <w:pPr>
              <w:rPr>
                <w:rFonts w:ascii="Arial"/>
                <w:sz w:val="21"/>
              </w:rPr>
            </w:pPr>
          </w:p>
        </w:tc>
        <w:tc>
          <w:tcPr>
            <w:tcW w:w="1932" w:type="dxa"/>
            <w:vAlign w:val="top"/>
          </w:tcPr>
          <w:p w14:paraId="0D588649">
            <w:pPr>
              <w:rPr>
                <w:rFonts w:ascii="Arial"/>
                <w:sz w:val="21"/>
              </w:rPr>
            </w:pPr>
          </w:p>
        </w:tc>
        <w:tc>
          <w:tcPr>
            <w:tcW w:w="1363" w:type="dxa"/>
            <w:vAlign w:val="top"/>
          </w:tcPr>
          <w:p w14:paraId="55BF3527">
            <w:pPr>
              <w:rPr>
                <w:rFonts w:ascii="Arial"/>
                <w:sz w:val="21"/>
              </w:rPr>
            </w:pPr>
          </w:p>
        </w:tc>
      </w:tr>
      <w:tr w14:paraId="157026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688A83A">
            <w:pPr>
              <w:rPr>
                <w:rFonts w:ascii="Arial"/>
                <w:sz w:val="21"/>
              </w:rPr>
            </w:pPr>
          </w:p>
        </w:tc>
        <w:tc>
          <w:tcPr>
            <w:tcW w:w="1623" w:type="dxa"/>
            <w:vAlign w:val="top"/>
          </w:tcPr>
          <w:p w14:paraId="7B2B932B">
            <w:pPr>
              <w:rPr>
                <w:rFonts w:ascii="Arial"/>
                <w:sz w:val="21"/>
              </w:rPr>
            </w:pPr>
          </w:p>
        </w:tc>
        <w:tc>
          <w:tcPr>
            <w:tcW w:w="1621" w:type="dxa"/>
            <w:vAlign w:val="top"/>
          </w:tcPr>
          <w:p w14:paraId="5F973A24">
            <w:pPr>
              <w:rPr>
                <w:rFonts w:ascii="Arial"/>
                <w:sz w:val="21"/>
              </w:rPr>
            </w:pPr>
          </w:p>
        </w:tc>
        <w:tc>
          <w:tcPr>
            <w:tcW w:w="1932" w:type="dxa"/>
            <w:vAlign w:val="top"/>
          </w:tcPr>
          <w:p w14:paraId="7CC71FC9">
            <w:pPr>
              <w:rPr>
                <w:rFonts w:ascii="Arial"/>
                <w:sz w:val="21"/>
              </w:rPr>
            </w:pPr>
          </w:p>
        </w:tc>
        <w:tc>
          <w:tcPr>
            <w:tcW w:w="1363" w:type="dxa"/>
            <w:vAlign w:val="top"/>
          </w:tcPr>
          <w:p w14:paraId="2276499A">
            <w:pPr>
              <w:rPr>
                <w:rFonts w:ascii="Arial"/>
                <w:sz w:val="21"/>
              </w:rPr>
            </w:pPr>
          </w:p>
        </w:tc>
      </w:tr>
      <w:tr w14:paraId="218BCD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42E01669">
            <w:pPr>
              <w:rPr>
                <w:rFonts w:ascii="Arial"/>
                <w:sz w:val="21"/>
              </w:rPr>
            </w:pPr>
          </w:p>
        </w:tc>
        <w:tc>
          <w:tcPr>
            <w:tcW w:w="1623" w:type="dxa"/>
            <w:vAlign w:val="top"/>
          </w:tcPr>
          <w:p w14:paraId="497FB732">
            <w:pPr>
              <w:rPr>
                <w:rFonts w:ascii="Arial"/>
                <w:sz w:val="21"/>
              </w:rPr>
            </w:pPr>
          </w:p>
        </w:tc>
        <w:tc>
          <w:tcPr>
            <w:tcW w:w="1621" w:type="dxa"/>
            <w:vAlign w:val="top"/>
          </w:tcPr>
          <w:p w14:paraId="1DB9B821">
            <w:pPr>
              <w:rPr>
                <w:rFonts w:ascii="Arial"/>
                <w:sz w:val="21"/>
              </w:rPr>
            </w:pPr>
          </w:p>
        </w:tc>
        <w:tc>
          <w:tcPr>
            <w:tcW w:w="1932" w:type="dxa"/>
            <w:vAlign w:val="top"/>
          </w:tcPr>
          <w:p w14:paraId="540D77E5">
            <w:pPr>
              <w:rPr>
                <w:rFonts w:ascii="Arial"/>
                <w:sz w:val="21"/>
              </w:rPr>
            </w:pPr>
          </w:p>
        </w:tc>
        <w:tc>
          <w:tcPr>
            <w:tcW w:w="1363" w:type="dxa"/>
            <w:vAlign w:val="top"/>
          </w:tcPr>
          <w:p w14:paraId="13812E14">
            <w:pPr>
              <w:rPr>
                <w:rFonts w:ascii="Arial"/>
                <w:sz w:val="21"/>
              </w:rPr>
            </w:pPr>
          </w:p>
        </w:tc>
      </w:tr>
      <w:tr w14:paraId="08E437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33B318C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2024年 月 日</w:t>
            </w:r>
          </w:p>
        </w:tc>
      </w:tr>
    </w:tbl>
    <w:p w14:paraId="593965C2">
      <w:pPr>
        <w:rPr>
          <w:rFonts w:ascii="Arial"/>
          <w:sz w:val="21"/>
        </w:rPr>
      </w:pPr>
    </w:p>
    <w:p w14:paraId="44AACB3C">
      <w:pPr>
        <w:spacing w:line="241" w:lineRule="auto"/>
        <w:rPr>
          <w:rFonts w:ascii="Arial"/>
          <w:sz w:val="21"/>
        </w:rPr>
      </w:pPr>
    </w:p>
    <w:p w14:paraId="791B95CF">
      <w:pPr>
        <w:pStyle w:val="2"/>
        <w:rPr>
          <w:rFonts w:ascii="Arial"/>
          <w:sz w:val="21"/>
        </w:rPr>
      </w:pPr>
    </w:p>
    <w:p w14:paraId="01ACF8B9">
      <w:pPr>
        <w:pStyle w:val="2"/>
        <w:rPr>
          <w:rFonts w:ascii="Arial"/>
          <w:sz w:val="21"/>
        </w:rPr>
      </w:pPr>
    </w:p>
    <w:p w14:paraId="4768057E">
      <w:pPr>
        <w:pStyle w:val="2"/>
        <w:rPr>
          <w:rFonts w:ascii="Arial"/>
          <w:sz w:val="21"/>
        </w:rPr>
      </w:pPr>
    </w:p>
    <w:p w14:paraId="78DCD8C3">
      <w:pPr>
        <w:pStyle w:val="2"/>
        <w:rPr>
          <w:rFonts w:ascii="Arial"/>
          <w:sz w:val="21"/>
        </w:rPr>
      </w:pPr>
    </w:p>
    <w:p w14:paraId="75E4B047">
      <w:pPr>
        <w:pStyle w:val="2"/>
        <w:rPr>
          <w:rFonts w:ascii="Arial"/>
          <w:sz w:val="21"/>
        </w:rPr>
      </w:pPr>
    </w:p>
    <w:p w14:paraId="435DD226">
      <w:pPr>
        <w:pStyle w:val="2"/>
        <w:rPr>
          <w:rFonts w:ascii="Arial"/>
          <w:sz w:val="21"/>
        </w:rPr>
      </w:pPr>
    </w:p>
    <w:p w14:paraId="6698267A">
      <w:pPr>
        <w:pStyle w:val="2"/>
        <w:rPr>
          <w:rFonts w:ascii="Arial"/>
          <w:sz w:val="21"/>
        </w:rPr>
      </w:pPr>
    </w:p>
    <w:p w14:paraId="6B2E2262">
      <w:pPr>
        <w:pStyle w:val="2"/>
        <w:rPr>
          <w:rFonts w:ascii="Arial"/>
          <w:sz w:val="21"/>
        </w:rPr>
      </w:pPr>
    </w:p>
    <w:p w14:paraId="2C3333DD">
      <w:pPr>
        <w:pStyle w:val="2"/>
        <w:rPr>
          <w:rFonts w:ascii="Arial"/>
          <w:sz w:val="21"/>
        </w:rPr>
      </w:pPr>
    </w:p>
    <w:p w14:paraId="56592C7B">
      <w:pPr>
        <w:pStyle w:val="2"/>
        <w:rPr>
          <w:rFonts w:ascii="Arial"/>
          <w:sz w:val="21"/>
        </w:rPr>
      </w:pPr>
    </w:p>
    <w:p w14:paraId="498DFABE">
      <w:pPr>
        <w:pStyle w:val="2"/>
        <w:rPr>
          <w:rFonts w:ascii="Arial"/>
          <w:sz w:val="21"/>
        </w:rPr>
      </w:pPr>
    </w:p>
    <w:p w14:paraId="5CACBF06">
      <w:pPr>
        <w:pStyle w:val="2"/>
        <w:rPr>
          <w:rFonts w:ascii="Arial"/>
          <w:sz w:val="21"/>
        </w:rPr>
      </w:pPr>
    </w:p>
    <w:p w14:paraId="661F2FA4">
      <w:pPr>
        <w:pStyle w:val="2"/>
        <w:rPr>
          <w:rFonts w:ascii="Arial"/>
          <w:sz w:val="21"/>
        </w:rPr>
      </w:pPr>
    </w:p>
    <w:p w14:paraId="281D2F1C">
      <w:pPr>
        <w:pStyle w:val="2"/>
        <w:rPr>
          <w:rFonts w:ascii="Arial"/>
          <w:sz w:val="21"/>
        </w:rPr>
      </w:pPr>
    </w:p>
    <w:p w14:paraId="263224D1">
      <w:pPr>
        <w:pStyle w:val="2"/>
        <w:rPr>
          <w:rFonts w:ascii="Arial"/>
          <w:sz w:val="21"/>
        </w:rPr>
      </w:pPr>
    </w:p>
    <w:p w14:paraId="632BD302">
      <w:pPr>
        <w:pStyle w:val="2"/>
        <w:rPr>
          <w:rFonts w:ascii="Arial"/>
          <w:sz w:val="21"/>
        </w:rPr>
      </w:pPr>
    </w:p>
    <w:p w14:paraId="034D3D90">
      <w:pPr>
        <w:pStyle w:val="2"/>
        <w:rPr>
          <w:rFonts w:ascii="Arial"/>
          <w:sz w:val="21"/>
        </w:rPr>
      </w:pPr>
    </w:p>
    <w:p w14:paraId="3876A363">
      <w:pPr>
        <w:pStyle w:val="2"/>
        <w:rPr>
          <w:rFonts w:ascii="Arial"/>
          <w:sz w:val="21"/>
        </w:rPr>
      </w:pPr>
    </w:p>
    <w:p w14:paraId="34491E0A">
      <w:pPr>
        <w:pStyle w:val="2"/>
        <w:rPr>
          <w:rFonts w:ascii="Arial"/>
          <w:sz w:val="21"/>
        </w:rPr>
      </w:pPr>
    </w:p>
    <w:p w14:paraId="673C9B73">
      <w:pPr>
        <w:pStyle w:val="2"/>
        <w:rPr>
          <w:rFonts w:ascii="Arial"/>
          <w:sz w:val="21"/>
        </w:rPr>
      </w:pPr>
    </w:p>
    <w:p w14:paraId="0F86BDEC">
      <w:pPr>
        <w:pStyle w:val="2"/>
        <w:rPr>
          <w:rFonts w:ascii="Arial"/>
          <w:sz w:val="21"/>
        </w:rPr>
      </w:pPr>
    </w:p>
    <w:p w14:paraId="4112D1FD">
      <w:pPr>
        <w:pStyle w:val="2"/>
        <w:rPr>
          <w:rFonts w:ascii="Arial"/>
          <w:sz w:val="21"/>
        </w:rPr>
      </w:pPr>
    </w:p>
    <w:p w14:paraId="1E029270">
      <w:pPr>
        <w:pStyle w:val="2"/>
        <w:rPr>
          <w:rFonts w:ascii="Arial"/>
          <w:sz w:val="21"/>
        </w:rPr>
      </w:pPr>
    </w:p>
    <w:p w14:paraId="273F5D38">
      <w:pPr>
        <w:pStyle w:val="2"/>
        <w:rPr>
          <w:rFonts w:ascii="Arial"/>
          <w:sz w:val="21"/>
        </w:rPr>
      </w:pPr>
    </w:p>
    <w:p w14:paraId="5AD0E789">
      <w:pPr>
        <w:pStyle w:val="2"/>
        <w:rPr>
          <w:rFonts w:ascii="Arial"/>
          <w:sz w:val="21"/>
        </w:rPr>
      </w:pPr>
    </w:p>
    <w:p w14:paraId="3D4950CD">
      <w:pPr>
        <w:pStyle w:val="2"/>
        <w:rPr>
          <w:rFonts w:ascii="Arial"/>
          <w:sz w:val="21"/>
        </w:rPr>
      </w:pPr>
    </w:p>
    <w:p w14:paraId="4AACD19A">
      <w:pPr>
        <w:pStyle w:val="2"/>
        <w:rPr>
          <w:rFonts w:ascii="Arial"/>
          <w:sz w:val="21"/>
        </w:rPr>
      </w:pPr>
    </w:p>
    <w:p w14:paraId="24CEEDD9">
      <w:pPr>
        <w:pStyle w:val="2"/>
        <w:rPr>
          <w:rFonts w:ascii="Arial"/>
          <w:sz w:val="21"/>
        </w:rPr>
      </w:pPr>
    </w:p>
    <w:p w14:paraId="2CE84425">
      <w:pPr>
        <w:pStyle w:val="2"/>
        <w:rPr>
          <w:rFonts w:ascii="Arial"/>
          <w:sz w:val="21"/>
        </w:rPr>
      </w:pPr>
    </w:p>
    <w:p w14:paraId="703CDF31">
      <w:pPr>
        <w:pStyle w:val="2"/>
        <w:rPr>
          <w:rFonts w:ascii="Arial"/>
          <w:sz w:val="21"/>
        </w:rPr>
      </w:pPr>
    </w:p>
    <w:p w14:paraId="4453E919">
      <w:pPr>
        <w:pStyle w:val="2"/>
        <w:rPr>
          <w:rFonts w:ascii="Arial"/>
          <w:sz w:val="21"/>
        </w:rPr>
      </w:pPr>
    </w:p>
    <w:p w14:paraId="37827CD5">
      <w:pPr>
        <w:spacing w:line="241"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04AEFF6">
      <w:pPr>
        <w:spacing w:line="242" w:lineRule="auto"/>
        <w:rPr>
          <w:rFonts w:ascii="Arial"/>
          <w:sz w:val="21"/>
        </w:rPr>
        <w:sectPr>
          <w:footerReference r:id="rId18" w:type="default"/>
          <w:pgSz w:w="11905" w:h="16840"/>
          <w:pgMar w:top="400" w:right="1785" w:bottom="615" w:left="1785" w:header="0" w:footer="454" w:gutter="0"/>
          <w:pgNumType w:fmt="numberInDash"/>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8"/>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2"/>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2"/>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www.creditchina.gov.cn） 查询结果</w:t>
      </w:r>
      <w:r>
        <w:rPr>
          <w:rFonts w:hint="eastAsia" w:ascii="仿宋" w:hAnsi="仿宋" w:eastAsia="仿宋" w:cs="仿宋"/>
          <w:sz w:val="32"/>
          <w:szCs w:val="32"/>
          <w:lang w:val="en-US" w:eastAsia="zh-CN"/>
        </w:rPr>
        <w:t>报告</w:t>
      </w:r>
    </w:p>
    <w:p w14:paraId="2E91352A">
      <w:pPr>
        <w:pStyle w:val="2"/>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第三方检测报告</w:t>
      </w:r>
    </w:p>
    <w:p w14:paraId="216EF27F">
      <w:pPr>
        <w:pStyle w:val="2"/>
        <w:rPr>
          <w:rFonts w:ascii="仿宋" w:hAnsi="仿宋" w:eastAsia="仿宋" w:cs="仿宋"/>
          <w:sz w:val="24"/>
          <w:szCs w:val="24"/>
        </w:rPr>
      </w:pPr>
    </w:p>
    <w:p w14:paraId="23D4F4A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2"/>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19" w:type="default"/>
      <w:pgSz w:w="11905" w:h="16840"/>
      <w:pgMar w:top="400" w:right="1785" w:bottom="615" w:left="1785" w:header="0" w:footer="454" w:gutter="0"/>
      <w:pgNumType w:fmt="numberInDash"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613F1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7613F1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444298">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E444298">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A3C1D9">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EA3C1D9">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E422A">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DE422A">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5D8DF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05D8DF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C84B14">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2C84B14">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5FFAF8">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55FFAF8">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AA056D">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AA056D">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A35F78">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43A35F78">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0D773E">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60D773E">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B00A4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E8B9AE">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E8B9AE">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甘肃德联牧业有限公司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D22BC6"/>
    <w:multiLevelType w:val="singleLevel"/>
    <w:tmpl w:val="0ED22BC6"/>
    <w:lvl w:ilvl="0" w:tentative="0">
      <w:start w:val="4"/>
      <w:numFmt w:val="chineseCounting"/>
      <w:suff w:val="nothing"/>
      <w:lvlText w:val="%1、"/>
      <w:lvlJc w:val="left"/>
      <w:rPr>
        <w:rFonts w:hint="eastAsia"/>
      </w:rPr>
    </w:lvl>
  </w:abstractNum>
  <w:abstractNum w:abstractNumId="1">
    <w:nsid w:val="11F31CCC"/>
    <w:multiLevelType w:val="singleLevel"/>
    <w:tmpl w:val="11F31CCC"/>
    <w:lvl w:ilvl="0" w:tentative="0">
      <w:start w:val="1"/>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rPr>
    </w:lvl>
  </w:abstractNum>
  <w:abstractNum w:abstractNumId="3">
    <w:nsid w:val="6A87ED74"/>
    <w:multiLevelType w:val="singleLevel"/>
    <w:tmpl w:val="6A87ED74"/>
    <w:lvl w:ilvl="0" w:tentative="0">
      <w:start w:val="2"/>
      <w:numFmt w:val="chineseCounting"/>
      <w:suff w:val="space"/>
      <w:lvlText w:val="第%1章"/>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jZkZDY3NjY4ZDQ1NTg2NWE5MTQ5MTE1OTIzNmY4MmIifQ=="/>
  </w:docVars>
  <w:rsids>
    <w:rsidRoot w:val="00000000"/>
    <w:rsid w:val="078925D1"/>
    <w:rsid w:val="095A53FF"/>
    <w:rsid w:val="09AD49E4"/>
    <w:rsid w:val="09D678FF"/>
    <w:rsid w:val="0B7E03AD"/>
    <w:rsid w:val="0B9B02FF"/>
    <w:rsid w:val="0C0A043C"/>
    <w:rsid w:val="0CA21F49"/>
    <w:rsid w:val="0D0C4B56"/>
    <w:rsid w:val="0D97229B"/>
    <w:rsid w:val="0E197F94"/>
    <w:rsid w:val="0E655591"/>
    <w:rsid w:val="12612C76"/>
    <w:rsid w:val="12C84698"/>
    <w:rsid w:val="146B4B15"/>
    <w:rsid w:val="1C0B4FE7"/>
    <w:rsid w:val="1D970E76"/>
    <w:rsid w:val="1DBB4AB2"/>
    <w:rsid w:val="22887589"/>
    <w:rsid w:val="24822870"/>
    <w:rsid w:val="264E0E6A"/>
    <w:rsid w:val="29952F5F"/>
    <w:rsid w:val="29CD5873"/>
    <w:rsid w:val="2C721227"/>
    <w:rsid w:val="306F1541"/>
    <w:rsid w:val="327E18D2"/>
    <w:rsid w:val="33B95673"/>
    <w:rsid w:val="36987B67"/>
    <w:rsid w:val="3A6E4173"/>
    <w:rsid w:val="3C3D5E12"/>
    <w:rsid w:val="3ED042DD"/>
    <w:rsid w:val="40081B38"/>
    <w:rsid w:val="41B56B45"/>
    <w:rsid w:val="41CF1216"/>
    <w:rsid w:val="4445400D"/>
    <w:rsid w:val="448F4CDD"/>
    <w:rsid w:val="46792C7D"/>
    <w:rsid w:val="47DB48C2"/>
    <w:rsid w:val="48CF6CC4"/>
    <w:rsid w:val="49005408"/>
    <w:rsid w:val="49B76D2E"/>
    <w:rsid w:val="4A1B335E"/>
    <w:rsid w:val="4B7242E1"/>
    <w:rsid w:val="4BA10E14"/>
    <w:rsid w:val="4BBD7E05"/>
    <w:rsid w:val="53800D42"/>
    <w:rsid w:val="54B86364"/>
    <w:rsid w:val="56B65133"/>
    <w:rsid w:val="58A2022D"/>
    <w:rsid w:val="59270DD1"/>
    <w:rsid w:val="596B3E6E"/>
    <w:rsid w:val="5EB109EE"/>
    <w:rsid w:val="5F216BDF"/>
    <w:rsid w:val="631725C7"/>
    <w:rsid w:val="69C002C3"/>
    <w:rsid w:val="6B393EA1"/>
    <w:rsid w:val="6C01728A"/>
    <w:rsid w:val="6DEA2224"/>
    <w:rsid w:val="6FD70154"/>
    <w:rsid w:val="707B5D4B"/>
    <w:rsid w:val="74CC105E"/>
    <w:rsid w:val="7AF73267"/>
    <w:rsid w:val="7B3B6AAB"/>
    <w:rsid w:val="7B443C36"/>
    <w:rsid w:val="7B5B2337"/>
    <w:rsid w:val="7BF74B6C"/>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autoRedefine/>
    <w:qFormat/>
    <w:uiPriority w:val="0"/>
    <w:rPr>
      <w:color w:val="0000FF"/>
      <w:u w:val="single"/>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4.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Pages>
  <Words>139</Words>
  <Characters>168</Characters>
  <TotalTime>10</TotalTime>
  <ScaleCrop>false</ScaleCrop>
  <LinksUpToDate>false</LinksUpToDate>
  <CharactersWithSpaces>185</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李久国</cp:lastModifiedBy>
  <cp:lastPrinted>2023-07-10T07:01:00Z</cp:lastPrinted>
  <dcterms:modified xsi:type="dcterms:W3CDTF">2024-11-05T02:19:01Z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2052-12.1.0.18608</vt:lpwstr>
  </property>
  <property fmtid="{D5CDD505-2E9C-101B-9397-08002B2CF9AE}" pid="5" name="ICV">
    <vt:lpwstr>84D2111B49C245049189463BF748E38D_12</vt:lpwstr>
  </property>
</Properties>
</file>